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D71" w:rsidRPr="00597FE5" w:rsidRDefault="007B7D71" w:rsidP="007B7D71">
      <w:pPr>
        <w:pStyle w:val="NewVIText"/>
        <w:jc w:val="right"/>
        <w:rPr>
          <w:rFonts w:ascii="Times New Roman" w:hAnsi="Times New Roman"/>
          <w:b/>
        </w:rPr>
      </w:pPr>
      <w:r w:rsidRPr="00597FE5">
        <w:rPr>
          <w:rFonts w:ascii="Times New Roman" w:hAnsi="Times New Roman"/>
          <w:b/>
        </w:rPr>
        <w:t>Allegato A</w:t>
      </w:r>
    </w:p>
    <w:p w:rsidR="007B7D71" w:rsidRDefault="007B7D71" w:rsidP="007B7D71">
      <w:pPr>
        <w:pStyle w:val="NewVIText"/>
        <w:rPr>
          <w:rFonts w:ascii="Times New Roman" w:hAnsi="Times New Roman"/>
          <w:b/>
        </w:rPr>
      </w:pPr>
    </w:p>
    <w:p w:rsidR="007B7D71" w:rsidRPr="00597FE5" w:rsidRDefault="007B7D71" w:rsidP="007B7D71">
      <w:pPr>
        <w:pStyle w:val="NewVIText"/>
        <w:jc w:val="center"/>
        <w:rPr>
          <w:rFonts w:ascii="Times New Roman" w:hAnsi="Times New Roman"/>
          <w:b/>
        </w:rPr>
      </w:pPr>
      <w:r w:rsidRPr="00597FE5">
        <w:rPr>
          <w:rFonts w:ascii="Times New Roman" w:hAnsi="Times New Roman"/>
          <w:b/>
        </w:rPr>
        <w:t xml:space="preserve">Relazione della società di revisione ai sensi dell'art. [norma di riferimento] </w:t>
      </w:r>
    </w:p>
    <w:p w:rsidR="007B7D71" w:rsidRPr="00597FE5" w:rsidRDefault="007B7D71" w:rsidP="007B7D71">
      <w:pPr>
        <w:pStyle w:val="NewVIText"/>
        <w:jc w:val="center"/>
        <w:rPr>
          <w:rFonts w:ascii="Times New Roman" w:hAnsi="Times New Roman"/>
          <w:b/>
        </w:rPr>
      </w:pPr>
      <w:r w:rsidRPr="00597FE5">
        <w:rPr>
          <w:rFonts w:ascii="Times New Roman" w:hAnsi="Times New Roman"/>
        </w:rPr>
        <w:t xml:space="preserve"> (</w:t>
      </w:r>
      <w:r w:rsidRPr="00597FE5">
        <w:rPr>
          <w:rFonts w:ascii="Times New Roman" w:hAnsi="Times New Roman"/>
          <w:b/>
        </w:rPr>
        <w:t xml:space="preserve">ora ai sensi dell’art. 14 del D. Lgs. </w:t>
      </w:r>
      <w:r w:rsidRPr="00597FE5">
        <w:rPr>
          <w:rFonts w:ascii="Times New Roman" w:hAnsi="Times New Roman"/>
          <w:b/>
          <w:smallCaps/>
        </w:rPr>
        <w:t xml:space="preserve">27.1.2010, </w:t>
      </w:r>
      <w:r w:rsidRPr="00597FE5">
        <w:rPr>
          <w:rFonts w:ascii="Times New Roman" w:hAnsi="Times New Roman"/>
          <w:b/>
        </w:rPr>
        <w:t>n</w:t>
      </w:r>
      <w:r w:rsidRPr="00597FE5">
        <w:rPr>
          <w:rFonts w:ascii="Times New Roman" w:hAnsi="Times New Roman"/>
          <w:b/>
          <w:smallCaps/>
        </w:rPr>
        <w:t>. 39)</w:t>
      </w:r>
    </w:p>
    <w:p w:rsidR="007B7D71" w:rsidRPr="00597FE5" w:rsidRDefault="007B7D71" w:rsidP="007B7D71">
      <w:pPr>
        <w:jc w:val="center"/>
        <w:rPr>
          <w:b/>
          <w:i/>
          <w:sz w:val="22"/>
          <w:szCs w:val="22"/>
        </w:rPr>
      </w:pPr>
    </w:p>
    <w:p w:rsidR="007B7D71" w:rsidRDefault="007B7D71" w:rsidP="007B7D71">
      <w:pPr>
        <w:pStyle w:val="NewVIText"/>
        <w:jc w:val="center"/>
        <w:rPr>
          <w:rFonts w:ascii="Times New Roman" w:hAnsi="Times New Roman"/>
          <w:b/>
          <w:i/>
        </w:rPr>
      </w:pPr>
      <w:r w:rsidRPr="00597FE5">
        <w:rPr>
          <w:rFonts w:ascii="Times New Roman" w:hAnsi="Times New Roman"/>
          <w:b/>
          <w:i/>
        </w:rPr>
        <w:t>Principi contabili IAS/IFRS</w:t>
      </w:r>
    </w:p>
    <w:p w:rsidR="00910261" w:rsidRPr="00597FE5" w:rsidRDefault="00910261" w:rsidP="007B7D71">
      <w:pPr>
        <w:pStyle w:val="NewVIText"/>
        <w:jc w:val="center"/>
        <w:rPr>
          <w:rFonts w:ascii="Times New Roman" w:hAnsi="Times New Roman"/>
        </w:rPr>
      </w:pPr>
    </w:p>
    <w:p w:rsidR="007B7D71" w:rsidRPr="00597FE5" w:rsidRDefault="007B7D71" w:rsidP="00910261">
      <w:pPr>
        <w:pStyle w:val="NewVIText"/>
        <w:tabs>
          <w:tab w:val="left" w:pos="4783"/>
        </w:tabs>
        <w:rPr>
          <w:rFonts w:ascii="Times New Roman" w:hAnsi="Times New Roman"/>
        </w:rPr>
      </w:pPr>
      <w:r w:rsidRPr="00597FE5">
        <w:rPr>
          <w:rFonts w:ascii="Times New Roman" w:hAnsi="Times New Roman"/>
        </w:rPr>
        <w:t xml:space="preserve">Agli Azionisti della </w:t>
      </w:r>
      <w:r w:rsidR="00910261">
        <w:rPr>
          <w:rFonts w:ascii="Times New Roman" w:hAnsi="Times New Roman"/>
        </w:rPr>
        <w:tab/>
      </w:r>
    </w:p>
    <w:p w:rsidR="007B7D71" w:rsidRPr="00597FE5" w:rsidRDefault="007B7D71" w:rsidP="007B7D71">
      <w:pPr>
        <w:pStyle w:val="NewVIText"/>
        <w:rPr>
          <w:rFonts w:ascii="Times New Roman" w:hAnsi="Times New Roman"/>
        </w:rPr>
      </w:pPr>
      <w:r w:rsidRPr="00597FE5">
        <w:rPr>
          <w:rFonts w:ascii="Times New Roman" w:hAnsi="Times New Roman"/>
        </w:rPr>
        <w:t>ABC S.p.A.</w:t>
      </w:r>
    </w:p>
    <w:p w:rsidR="007B7D71" w:rsidRPr="00597FE5" w:rsidRDefault="007B7D71" w:rsidP="007B7D71">
      <w:pPr>
        <w:pStyle w:val="NewVIBulletNumber"/>
        <w:rPr>
          <w:sz w:val="22"/>
          <w:szCs w:val="22"/>
        </w:rPr>
      </w:pPr>
    </w:p>
    <w:p w:rsidR="007B7D71" w:rsidRPr="00597FE5" w:rsidRDefault="007B7D71" w:rsidP="00DE5808">
      <w:pPr>
        <w:pStyle w:val="NewVIBulletNumber"/>
        <w:ind w:left="426" w:hanging="426"/>
        <w:rPr>
          <w:sz w:val="22"/>
          <w:szCs w:val="22"/>
        </w:rPr>
      </w:pPr>
      <w:r w:rsidRPr="00597FE5">
        <w:rPr>
          <w:sz w:val="22"/>
          <w:szCs w:val="22"/>
        </w:rPr>
        <w:t xml:space="preserve">1. </w:t>
      </w:r>
      <w:r w:rsidRPr="00597FE5">
        <w:rPr>
          <w:sz w:val="22"/>
          <w:szCs w:val="22"/>
        </w:rPr>
        <w:tab/>
        <w:t xml:space="preserve">Abbiamo svolto la revisione </w:t>
      </w:r>
      <w:r w:rsidR="0050756F" w:rsidRPr="00597FE5">
        <w:rPr>
          <w:sz w:val="22"/>
          <w:szCs w:val="22"/>
        </w:rPr>
        <w:t>contabile</w:t>
      </w:r>
      <w:r w:rsidRPr="00597FE5">
        <w:rPr>
          <w:sz w:val="22"/>
          <w:szCs w:val="22"/>
        </w:rPr>
        <w:t xml:space="preserve"> del bilancio consolidato (d’esercizio), costituito</w:t>
      </w:r>
      <w:r w:rsidRPr="00597FE5">
        <w:rPr>
          <w:sz w:val="22"/>
          <w:szCs w:val="22"/>
          <w:vertAlign w:val="superscript"/>
        </w:rPr>
        <w:footnoteReference w:id="1"/>
      </w:r>
      <w:r w:rsidRPr="00597FE5">
        <w:rPr>
          <w:sz w:val="22"/>
          <w:szCs w:val="22"/>
        </w:rPr>
        <w:t xml:space="preserve"> dalla situazione patrimoniale-finanziaria, [dal conto economico, dal conto economico complessivo]</w:t>
      </w:r>
      <w:r w:rsidRPr="00597FE5">
        <w:rPr>
          <w:sz w:val="22"/>
          <w:szCs w:val="22"/>
          <w:vertAlign w:val="superscript"/>
        </w:rPr>
        <w:footnoteReference w:id="2"/>
      </w:r>
      <w:r w:rsidRPr="00597FE5">
        <w:rPr>
          <w:sz w:val="22"/>
          <w:szCs w:val="22"/>
        </w:rPr>
        <w:t>,  dal prospetto delle variazioni del patrimonio netto, dal rendiconto finanziario e dalle relative note esplicative, della ABC S.p.A. e sue controllate (“Gruppo ABC”) chiuso al … [data]. La responsabilità della redazione del bilancio in conformità agli International Financial Reporting Standards adottati dall’Unione Europea, [nonché ai provvedimenti emanati in attuazione dell’art. 9 del D. Lgs. n. 38/2005]</w:t>
      </w:r>
      <w:r w:rsidRPr="00597FE5">
        <w:rPr>
          <w:rStyle w:val="FootnoteReference"/>
          <w:sz w:val="22"/>
          <w:szCs w:val="22"/>
        </w:rPr>
        <w:footnoteReference w:id="3"/>
      </w:r>
      <w:r w:rsidRPr="00597FE5">
        <w:rPr>
          <w:sz w:val="22"/>
          <w:szCs w:val="22"/>
        </w:rPr>
        <w:t xml:space="preserve">, compete agli amministratori della ABC S.p.A.. E' nostra la responsabilità del giudizio professionale espresso sul bilancio e basato sulla revisione contabile. </w:t>
      </w:r>
    </w:p>
    <w:p w:rsidR="007B7D71" w:rsidRPr="00597FE5" w:rsidRDefault="007B7D71" w:rsidP="00DE5808">
      <w:pPr>
        <w:pStyle w:val="NewVIBulletNumber"/>
        <w:ind w:left="426" w:hanging="426"/>
        <w:rPr>
          <w:sz w:val="22"/>
          <w:szCs w:val="22"/>
        </w:rPr>
      </w:pPr>
    </w:p>
    <w:p w:rsidR="007B7D71" w:rsidRPr="00597FE5" w:rsidRDefault="007B7D71" w:rsidP="00DE5808">
      <w:pPr>
        <w:pStyle w:val="NewVIBulletNumber"/>
        <w:ind w:left="426" w:hanging="426"/>
        <w:rPr>
          <w:sz w:val="22"/>
          <w:szCs w:val="22"/>
        </w:rPr>
      </w:pPr>
      <w:r w:rsidRPr="00597FE5">
        <w:rPr>
          <w:sz w:val="22"/>
          <w:szCs w:val="22"/>
        </w:rPr>
        <w:t xml:space="preserve">2. </w:t>
      </w:r>
      <w:r w:rsidR="00A06E98">
        <w:rPr>
          <w:sz w:val="22"/>
          <w:szCs w:val="22"/>
        </w:rPr>
        <w:tab/>
      </w:r>
      <w:r w:rsidRPr="00597FE5">
        <w:rPr>
          <w:sz w:val="22"/>
          <w:szCs w:val="22"/>
        </w:rPr>
        <w:t>Il nostro esame è stato condotto secondo i principi di revisione emanati dal Consiglio Nazionale dei Dottori Commercialisti e degli Esperti Contabili e raccomandati dalla Consob</w:t>
      </w:r>
      <w:r w:rsidRPr="00597FE5" w:rsidDel="002041D4">
        <w:rPr>
          <w:sz w:val="22"/>
          <w:szCs w:val="22"/>
        </w:rPr>
        <w:t xml:space="preserve"> </w:t>
      </w:r>
      <w:r w:rsidRPr="00597FE5">
        <w:rPr>
          <w:sz w:val="22"/>
          <w:szCs w:val="22"/>
        </w:rPr>
        <w:t>[Il nostro esame è stato condotto secondo i principi e i criteri per la revisione contabile raccomandati dalla Consob]</w:t>
      </w:r>
      <w:r w:rsidRPr="00597FE5">
        <w:rPr>
          <w:rStyle w:val="FootnoteReference"/>
          <w:sz w:val="22"/>
          <w:szCs w:val="22"/>
        </w:rPr>
        <w:footnoteReference w:id="4"/>
      </w:r>
      <w:r w:rsidRPr="00597FE5">
        <w:rPr>
          <w:sz w:val="22"/>
          <w:szCs w:val="22"/>
        </w:rPr>
        <w:t>. In conformità ai predetti principi [e criteri]</w:t>
      </w:r>
      <w:r w:rsidRPr="00597FE5">
        <w:rPr>
          <w:rStyle w:val="FootnoteReference"/>
          <w:sz w:val="22"/>
          <w:szCs w:val="22"/>
        </w:rPr>
        <w:footnoteReference w:id="5"/>
      </w:r>
      <w:r w:rsidRPr="00597FE5">
        <w:rPr>
          <w:sz w:val="22"/>
          <w:szCs w:val="22"/>
        </w:rPr>
        <w:t xml:space="preserve">, la revisione è stata pianificata e svolta al fine di acquisire ogni elemento necessario per accertare se bilancio consolidato (d’esercizio) sia viziato da errori significativi e se risulti, nel suo complesso, attendibile. Il procedimento di revisione comprende l'esame, sulla base di verifiche a campione, degli elementi probativi a supporto dei saldi e delle informazioni contenuti nel bilancio, nonché la valutazione dell'adeguatezza e della correttezza dei criteri contabili utilizzati e della ragionevolezza delle stime effettuate dagli amministratori. Riteniamo che il lavoro svolto fornisca una ragionevole base per l'espressione del nostro giudizio professionale.  </w:t>
      </w:r>
    </w:p>
    <w:p w:rsidR="007B7D71" w:rsidRPr="00597FE5" w:rsidRDefault="007B7D71" w:rsidP="00DE5808">
      <w:pPr>
        <w:pStyle w:val="NewVIBulletNumber"/>
        <w:ind w:hanging="426"/>
        <w:rPr>
          <w:sz w:val="22"/>
          <w:szCs w:val="22"/>
        </w:rPr>
      </w:pPr>
    </w:p>
    <w:p w:rsidR="007B7D71" w:rsidRDefault="00DE5808" w:rsidP="00DE5808">
      <w:pPr>
        <w:pStyle w:val="NewVIBulletNumber"/>
        <w:ind w:left="426" w:hanging="426"/>
        <w:rPr>
          <w:sz w:val="22"/>
          <w:szCs w:val="22"/>
        </w:rPr>
      </w:pPr>
      <w:r>
        <w:rPr>
          <w:sz w:val="22"/>
          <w:szCs w:val="22"/>
        </w:rPr>
        <w:tab/>
      </w:r>
      <w:r w:rsidR="007B7D71" w:rsidRPr="00597FE5">
        <w:rPr>
          <w:sz w:val="22"/>
          <w:szCs w:val="22"/>
        </w:rPr>
        <w:t>[</w:t>
      </w:r>
      <w:r w:rsidR="00DE0673" w:rsidRPr="00597FE5">
        <w:rPr>
          <w:b/>
          <w:sz w:val="22"/>
          <w:szCs w:val="22"/>
          <w:u w:val="single"/>
        </w:rPr>
        <w:t>P</w:t>
      </w:r>
      <w:r w:rsidR="007B7D71" w:rsidRPr="00597FE5">
        <w:rPr>
          <w:b/>
          <w:sz w:val="22"/>
          <w:szCs w:val="22"/>
          <w:u w:val="single"/>
        </w:rPr>
        <w:t>er il bilancio d’esercizio</w:t>
      </w:r>
      <w:r w:rsidR="00E65AA7" w:rsidRPr="00597FE5">
        <w:rPr>
          <w:rStyle w:val="FootnoteReference"/>
          <w:b/>
          <w:sz w:val="22"/>
          <w:szCs w:val="22"/>
          <w:u w:val="single"/>
        </w:rPr>
        <w:footnoteReference w:id="6"/>
      </w:r>
      <w:r w:rsidR="007B7D71" w:rsidRPr="00597FE5">
        <w:rPr>
          <w:sz w:val="22"/>
          <w:szCs w:val="22"/>
        </w:rPr>
        <w:t xml:space="preserve"> La responsabilità dei lavori di revisione contabile dei bilanci di alcune società controllate e collegate, per quanto riguarda importi delle partecipazioni che rappresentano … (valore o %) e … (valore o %) rispettivamente della voce partecipazioni e del totale attivo, è di altri revisori.]</w:t>
      </w:r>
    </w:p>
    <w:p w:rsidR="00DE5808" w:rsidRPr="00597FE5" w:rsidRDefault="00DE5808"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w:t>
      </w:r>
      <w:r w:rsidR="007B7D71" w:rsidRPr="00597FE5">
        <w:rPr>
          <w:b/>
          <w:sz w:val="22"/>
          <w:szCs w:val="22"/>
          <w:u w:val="single"/>
        </w:rPr>
        <w:t>Per il bilancio consolidato</w:t>
      </w:r>
      <w:r w:rsidR="00E65AA7" w:rsidRPr="00597FE5">
        <w:rPr>
          <w:rStyle w:val="FootnoteReference"/>
          <w:b/>
          <w:sz w:val="22"/>
          <w:szCs w:val="22"/>
          <w:u w:val="single"/>
        </w:rPr>
        <w:footnoteReference w:id="7"/>
      </w:r>
      <w:r w:rsidR="007B7D71" w:rsidRPr="00597FE5">
        <w:rPr>
          <w:sz w:val="22"/>
          <w:szCs w:val="22"/>
        </w:rPr>
        <w:t xml:space="preserve"> La responsabilità dei lavori di revisione contabile dei bilanci di alcune società controllate e collegate, che rappresentano … (valore o %) dell’attivo consolidato e … (valore o %) dei ricavi consolidati, è di altri revisori.]</w:t>
      </w:r>
    </w:p>
    <w:p w:rsidR="007B7D71" w:rsidRPr="00597FE5" w:rsidRDefault="007B7D71" w:rsidP="00DE5808">
      <w:pPr>
        <w:pStyle w:val="NewVIBulletNumber"/>
        <w:ind w:left="426" w:hanging="426"/>
        <w:rPr>
          <w:sz w:val="22"/>
          <w:szCs w:val="22"/>
        </w:rPr>
      </w:pPr>
    </w:p>
    <w:p w:rsidR="007B7D71" w:rsidRDefault="00DE5808" w:rsidP="00DE5808">
      <w:pPr>
        <w:pStyle w:val="NewVIBulletNumber"/>
        <w:ind w:left="426" w:hanging="426"/>
        <w:rPr>
          <w:sz w:val="22"/>
          <w:szCs w:val="22"/>
        </w:rPr>
      </w:pPr>
      <w:r>
        <w:rPr>
          <w:sz w:val="22"/>
          <w:szCs w:val="22"/>
        </w:rPr>
        <w:tab/>
      </w:r>
      <w:r w:rsidR="007B7D71" w:rsidRPr="00597FE5">
        <w:rPr>
          <w:sz w:val="22"/>
          <w:szCs w:val="22"/>
        </w:rPr>
        <w:t>La revisione contabile sul bilancio consolidato (d’esercizio) al … [data] è stata svolta in conformità alla normativa vigent</w:t>
      </w:r>
      <w:r w:rsidR="00DE0673" w:rsidRPr="00597FE5">
        <w:rPr>
          <w:sz w:val="22"/>
          <w:szCs w:val="22"/>
        </w:rPr>
        <w:t>e nel corso di tale esercizio.</w:t>
      </w:r>
    </w:p>
    <w:p w:rsidR="007B7D71" w:rsidRPr="00597FE5" w:rsidRDefault="00DE5808" w:rsidP="00DE5808">
      <w:pPr>
        <w:pStyle w:val="NewVIBulletNumber"/>
        <w:ind w:left="426" w:hanging="426"/>
        <w:rPr>
          <w:sz w:val="22"/>
          <w:szCs w:val="22"/>
        </w:rPr>
      </w:pPr>
      <w:r>
        <w:rPr>
          <w:sz w:val="22"/>
          <w:szCs w:val="22"/>
        </w:rPr>
        <w:lastRenderedPageBreak/>
        <w:tab/>
      </w:r>
      <w:r w:rsidR="007B7D71" w:rsidRPr="00597FE5">
        <w:rPr>
          <w:sz w:val="22"/>
          <w:szCs w:val="22"/>
        </w:rPr>
        <w:t>Formulazioni alternative da adattare alle circostanze:</w:t>
      </w:r>
    </w:p>
    <w:p w:rsidR="007B7D71" w:rsidRPr="00597FE5" w:rsidRDefault="007B7D71" w:rsidP="00DE5808">
      <w:pPr>
        <w:pStyle w:val="NewVIBulletNumber"/>
        <w:ind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 xml:space="preserve">CASO A: da utilizzare solo con riferimento al bilancio annuale in cui trova prima applicazione lo IAS 1 rivisto e nelle circostanze in cui non vi siano altri cambiamenti ai dati comparativi se non quelli derivanti dall’applicazione dello IAS 1 rivisto. </w:t>
      </w:r>
    </w:p>
    <w:p w:rsidR="007B7D71" w:rsidRPr="00597FE5" w:rsidRDefault="007B7D71" w:rsidP="00DE5808">
      <w:pPr>
        <w:pStyle w:val="NewVIBulletNumber"/>
        <w:ind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 xml:space="preserve">Per il giudizio relativo al bilancio consolidato dell’esercizio precedente, i cui dati presentati ai fini comparativi sono stati riesposti per tener conto delle modifiche agli schemi di bilancio introdotte dallo IAS 1, si fa riferimento alla relazione da noi emessa </w:t>
      </w:r>
      <w:r w:rsidR="007B7D71" w:rsidRPr="00597FE5">
        <w:rPr>
          <w:b/>
          <w:sz w:val="22"/>
          <w:szCs w:val="22"/>
        </w:rPr>
        <w:t>[emessa da altro revisore]</w:t>
      </w:r>
      <w:r w:rsidR="007B7D71" w:rsidRPr="00597FE5">
        <w:rPr>
          <w:sz w:val="22"/>
          <w:szCs w:val="22"/>
        </w:rPr>
        <w:t xml:space="preserve"> in data </w:t>
      </w:r>
      <w:r w:rsidR="007B7D71" w:rsidRPr="00597FE5">
        <w:rPr>
          <w:b/>
          <w:sz w:val="22"/>
          <w:szCs w:val="22"/>
        </w:rPr>
        <w:t>[data]</w:t>
      </w:r>
      <w:r w:rsidR="007B7D71" w:rsidRPr="00597FE5">
        <w:rPr>
          <w:sz w:val="22"/>
          <w:szCs w:val="22"/>
        </w:rPr>
        <w:t xml:space="preserve">. </w:t>
      </w:r>
    </w:p>
    <w:p w:rsidR="007B7D71" w:rsidRPr="00597FE5" w:rsidRDefault="007B7D71"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CASO B: da utilizzare qualora non vi siano altri cambiamenti ai dati comparativi se non quelli derivanti dall’applicazione dello IAS 1 rivisto e, inoltre, la società, pur adottando gli schemi IAS 1R obbligatori espone nel prospetto di redditività complessiva del 2008 importi nulli, per assenza di elementi di “other comprehensive income”.</w:t>
      </w:r>
    </w:p>
    <w:p w:rsidR="007B7D71" w:rsidRPr="00597FE5" w:rsidRDefault="007B7D71"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 xml:space="preserve">Per il giudizio relativo al bilancio consolidato dell’esercizio precedente, i cui dati sono presentati ai fini comparativi, si fa riferimento alla relazione da noi emessa [emessa da altro revisore] in data [data]. </w:t>
      </w:r>
    </w:p>
    <w:p w:rsidR="007B7D71" w:rsidRPr="00597FE5" w:rsidRDefault="007B7D71"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CASO C</w:t>
      </w:r>
      <w:r w:rsidR="007B7D71" w:rsidRPr="00597FE5">
        <w:rPr>
          <w:rStyle w:val="FootnoteReference"/>
          <w:b/>
          <w:sz w:val="22"/>
          <w:szCs w:val="22"/>
          <w:u w:val="single"/>
        </w:rPr>
        <w:footnoteReference w:id="8"/>
      </w:r>
      <w:r w:rsidR="007B7D71" w:rsidRPr="00597FE5">
        <w:rPr>
          <w:sz w:val="22"/>
          <w:szCs w:val="22"/>
        </w:rPr>
        <w:t>: dati comparativi riesposti, senza necessità di presentazione dello stato patrimoniale alla data d’inizio dell’esercizio precedente (“terza colonna”). Per approfondimenti si rimanda al principio contabile IAS 1.10 (f)</w:t>
      </w:r>
      <w:r w:rsidR="00E65AA7" w:rsidRPr="00597FE5">
        <w:rPr>
          <w:sz w:val="22"/>
          <w:szCs w:val="22"/>
        </w:rPr>
        <w:t>.</w:t>
      </w:r>
    </w:p>
    <w:p w:rsidR="007B7D71" w:rsidRPr="00597FE5" w:rsidRDefault="007B7D71"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Il bilancio consolidato  presenta ai fini comparativi i dati dell’esercizio precedente. Come illustrato nelle note esplicative</w:t>
      </w:r>
      <w:r w:rsidR="007B7D71" w:rsidRPr="00597FE5">
        <w:rPr>
          <w:rStyle w:val="FootnoteReference"/>
          <w:b/>
          <w:sz w:val="22"/>
          <w:szCs w:val="22"/>
        </w:rPr>
        <w:footnoteReference w:id="9"/>
      </w:r>
      <w:r w:rsidR="007B7D71" w:rsidRPr="00597FE5">
        <w:rPr>
          <w:sz w:val="22"/>
          <w:szCs w:val="22"/>
        </w:rPr>
        <w:t xml:space="preserve">, gli amministratori hanno riesposto alcuni dati comparativi relativi all’esercizio precedente, rispetto ai dati precedentemente presentati e da noi assoggettati a revisione contabile </w:t>
      </w:r>
      <w:r w:rsidR="007B7D71" w:rsidRPr="00597FE5">
        <w:rPr>
          <w:b/>
          <w:sz w:val="22"/>
          <w:szCs w:val="22"/>
        </w:rPr>
        <w:t>[ed assoggettati a revisione contabile da altro revisore]</w:t>
      </w:r>
      <w:r w:rsidR="007B7D71" w:rsidRPr="00597FE5">
        <w:rPr>
          <w:sz w:val="22"/>
          <w:szCs w:val="22"/>
        </w:rPr>
        <w:t xml:space="preserve">, sui quali avevamo emesso la relazione di revisione </w:t>
      </w:r>
      <w:r w:rsidR="007B7D71" w:rsidRPr="00597FE5">
        <w:rPr>
          <w:b/>
          <w:sz w:val="22"/>
          <w:szCs w:val="22"/>
        </w:rPr>
        <w:t>[che ha emesso la relazione di revisione]</w:t>
      </w:r>
      <w:r w:rsidR="007B7D71" w:rsidRPr="00597FE5">
        <w:rPr>
          <w:sz w:val="22"/>
          <w:szCs w:val="22"/>
        </w:rPr>
        <w:t xml:space="preserve"> in data [</w:t>
      </w:r>
      <w:r w:rsidR="007B7D71" w:rsidRPr="00597FE5">
        <w:rPr>
          <w:b/>
          <w:sz w:val="22"/>
          <w:szCs w:val="22"/>
        </w:rPr>
        <w:t>data</w:t>
      </w:r>
      <w:r w:rsidR="007B7D71" w:rsidRPr="00597FE5">
        <w:rPr>
          <w:sz w:val="22"/>
          <w:szCs w:val="22"/>
        </w:rPr>
        <w:t xml:space="preserve">]. Le modalità di rideterminazione dei dati comparativi e la relativa informativa presentata nelle note esplicative, sono state da noi esaminate ai fini dell’espressione del giudizio sul bilancio consolidato chiuso al … </w:t>
      </w:r>
      <w:r w:rsidR="007B7D71" w:rsidRPr="00597FE5">
        <w:rPr>
          <w:b/>
          <w:sz w:val="22"/>
          <w:szCs w:val="22"/>
        </w:rPr>
        <w:t>[data]</w:t>
      </w:r>
      <w:r w:rsidR="007B7D71" w:rsidRPr="00597FE5">
        <w:rPr>
          <w:sz w:val="22"/>
          <w:szCs w:val="22"/>
        </w:rPr>
        <w:t>.</w:t>
      </w:r>
    </w:p>
    <w:p w:rsidR="007B7D71" w:rsidRPr="00597FE5" w:rsidRDefault="007B7D71"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CASO D: dati comparativi riesposti; necessità di presentazione dello stato patrimoniale alla data d’inizio dell’esercizio precedente (“terza colonna”). Per approfondimenti si rimanda al principio contabile IAS 1.10 (f).</w:t>
      </w:r>
    </w:p>
    <w:p w:rsidR="007B7D71" w:rsidRPr="00597FE5" w:rsidRDefault="007B7D71" w:rsidP="00DE5808">
      <w:pPr>
        <w:pStyle w:val="NewVIBulletNumber"/>
        <w:ind w:left="426" w:hanging="426"/>
        <w:rPr>
          <w:sz w:val="22"/>
          <w:szCs w:val="22"/>
        </w:rPr>
      </w:pPr>
    </w:p>
    <w:p w:rsidR="007B7D71" w:rsidRPr="00597FE5" w:rsidRDefault="00DE5808" w:rsidP="00DE5808">
      <w:pPr>
        <w:pStyle w:val="NewVIBulletNumber"/>
        <w:ind w:left="426" w:hanging="426"/>
        <w:rPr>
          <w:sz w:val="22"/>
          <w:szCs w:val="22"/>
        </w:rPr>
      </w:pPr>
      <w:r>
        <w:rPr>
          <w:sz w:val="22"/>
          <w:szCs w:val="22"/>
        </w:rPr>
        <w:tab/>
      </w:r>
      <w:r w:rsidR="007B7D71" w:rsidRPr="00597FE5">
        <w:rPr>
          <w:sz w:val="22"/>
          <w:szCs w:val="22"/>
        </w:rPr>
        <w:t>Il bilancio consolidato presenta ai fini comparativi i dati dell’esercizio precedente e lo stato patrimoniale al … (data inizio esercizio precedente). Come illustrato nelle note esplicative</w:t>
      </w:r>
      <w:r w:rsidR="007B7D71" w:rsidRPr="00597FE5">
        <w:rPr>
          <w:rStyle w:val="FootnoteReference"/>
          <w:i/>
          <w:sz w:val="22"/>
          <w:szCs w:val="22"/>
        </w:rPr>
        <w:footnoteReference w:id="10"/>
      </w:r>
      <w:r w:rsidR="007B7D71" w:rsidRPr="00597FE5">
        <w:rPr>
          <w:sz w:val="22"/>
          <w:szCs w:val="22"/>
        </w:rPr>
        <w:t xml:space="preserve">, gli amministratori hanno riesposto alcuni dati comparativi relativi all’esercizio precedente ed allo stato patrimoniale al … (data inizio esercizio precedente), che deriva dal bilancio consolidato </w:t>
      </w:r>
      <w:r w:rsidR="007B7D71" w:rsidRPr="00597FE5">
        <w:rPr>
          <w:b/>
          <w:sz w:val="22"/>
          <w:szCs w:val="22"/>
        </w:rPr>
        <w:t>[d’esercizio]</w:t>
      </w:r>
      <w:r w:rsidR="007B7D71" w:rsidRPr="00597FE5">
        <w:rPr>
          <w:sz w:val="22"/>
          <w:szCs w:val="22"/>
        </w:rPr>
        <w:t xml:space="preserve"> al … </w:t>
      </w:r>
      <w:r w:rsidR="007B7D71" w:rsidRPr="00597FE5">
        <w:rPr>
          <w:b/>
          <w:sz w:val="22"/>
          <w:szCs w:val="22"/>
        </w:rPr>
        <w:t>[data]</w:t>
      </w:r>
      <w:r w:rsidR="007B7D71" w:rsidRPr="00597FE5">
        <w:rPr>
          <w:sz w:val="22"/>
          <w:szCs w:val="22"/>
        </w:rPr>
        <w:t xml:space="preserve">, rispetto ai dati precedentemente presentati e da noi assoggettati a revisione contabile </w:t>
      </w:r>
      <w:r w:rsidR="007B7D71" w:rsidRPr="00597FE5">
        <w:rPr>
          <w:b/>
          <w:sz w:val="22"/>
          <w:szCs w:val="22"/>
        </w:rPr>
        <w:t>[ed assoggettati a revisione contabile da altro revisore]</w:t>
      </w:r>
      <w:r w:rsidR="007B7D71" w:rsidRPr="00597FE5">
        <w:rPr>
          <w:sz w:val="22"/>
          <w:szCs w:val="22"/>
        </w:rPr>
        <w:t xml:space="preserve">, sui quali avevamo emesso le relazioni di revisione </w:t>
      </w:r>
      <w:r w:rsidR="007B7D71" w:rsidRPr="00597FE5">
        <w:rPr>
          <w:b/>
          <w:sz w:val="22"/>
          <w:szCs w:val="22"/>
        </w:rPr>
        <w:t>[che ha emesso le relazioni di revisione]</w:t>
      </w:r>
      <w:r w:rsidR="007B7D71" w:rsidRPr="00597FE5">
        <w:rPr>
          <w:sz w:val="22"/>
          <w:szCs w:val="22"/>
        </w:rPr>
        <w:t xml:space="preserve"> rispettivamente in data [</w:t>
      </w:r>
      <w:r w:rsidR="007B7D71" w:rsidRPr="00597FE5">
        <w:rPr>
          <w:b/>
          <w:sz w:val="22"/>
          <w:szCs w:val="22"/>
        </w:rPr>
        <w:t>data</w:t>
      </w:r>
      <w:r w:rsidR="007B7D71" w:rsidRPr="00597FE5">
        <w:rPr>
          <w:sz w:val="22"/>
          <w:szCs w:val="22"/>
        </w:rPr>
        <w:t>] ed in data [</w:t>
      </w:r>
      <w:r w:rsidR="007B7D71" w:rsidRPr="00597FE5">
        <w:rPr>
          <w:b/>
          <w:sz w:val="22"/>
          <w:szCs w:val="22"/>
        </w:rPr>
        <w:t>data</w:t>
      </w:r>
      <w:r w:rsidR="007B7D71" w:rsidRPr="00597FE5">
        <w:rPr>
          <w:sz w:val="22"/>
          <w:szCs w:val="22"/>
        </w:rPr>
        <w:t>]</w:t>
      </w:r>
      <w:r w:rsidR="007B7D71" w:rsidRPr="00597FE5">
        <w:rPr>
          <w:rStyle w:val="FootnoteReference"/>
          <w:i/>
          <w:sz w:val="22"/>
          <w:szCs w:val="22"/>
        </w:rPr>
        <w:footnoteReference w:id="11"/>
      </w:r>
      <w:r w:rsidR="007B7D71" w:rsidRPr="00597FE5">
        <w:rPr>
          <w:sz w:val="22"/>
          <w:szCs w:val="22"/>
        </w:rPr>
        <w:t xml:space="preserve">. Le modalità di rideterminazione dei dati </w:t>
      </w:r>
      <w:r w:rsidR="007B7D71" w:rsidRPr="00597FE5">
        <w:rPr>
          <w:sz w:val="22"/>
          <w:szCs w:val="22"/>
        </w:rPr>
        <w:lastRenderedPageBreak/>
        <w:t xml:space="preserve">comparativi e la relativa informativa presentata nelle note esplicative, sono state da noi esaminate ai fini dell’espressione del giudizio sul bilancio consolidato  chiuso al … </w:t>
      </w:r>
      <w:r w:rsidR="007B7D71" w:rsidRPr="00597FE5">
        <w:rPr>
          <w:b/>
          <w:sz w:val="22"/>
          <w:szCs w:val="22"/>
        </w:rPr>
        <w:t>[data]</w:t>
      </w:r>
      <w:r w:rsidR="007B7D71" w:rsidRPr="00597FE5">
        <w:rPr>
          <w:sz w:val="22"/>
          <w:szCs w:val="22"/>
        </w:rPr>
        <w:t>.</w:t>
      </w:r>
    </w:p>
    <w:p w:rsidR="007B7D71" w:rsidRPr="00597FE5" w:rsidRDefault="007B7D71" w:rsidP="00DE5808">
      <w:pPr>
        <w:pStyle w:val="NewVIBulletNumber"/>
        <w:ind w:hanging="426"/>
        <w:rPr>
          <w:sz w:val="22"/>
          <w:szCs w:val="22"/>
        </w:rPr>
      </w:pPr>
    </w:p>
    <w:p w:rsidR="007B7D71" w:rsidRPr="00597FE5" w:rsidRDefault="007B7D71" w:rsidP="00DE5808">
      <w:pPr>
        <w:pStyle w:val="NewVIBulletNumber"/>
        <w:ind w:hanging="426"/>
        <w:rPr>
          <w:sz w:val="22"/>
          <w:szCs w:val="22"/>
        </w:rPr>
      </w:pPr>
      <w:r w:rsidRPr="00597FE5">
        <w:rPr>
          <w:sz w:val="22"/>
          <w:szCs w:val="22"/>
        </w:rPr>
        <w:t xml:space="preserve">3. </w:t>
      </w:r>
      <w:r w:rsidRPr="00597FE5">
        <w:rPr>
          <w:sz w:val="22"/>
          <w:szCs w:val="22"/>
        </w:rPr>
        <w:tab/>
        <w:t>A nostro giudizio, il bilancio consolidato (d’esercizio) del Gruppo ABC (della ABC S.p.A.) al … (data) è conforme agli International Financial Reporting Standards adottati dall’Unione Europea, [nonché ai provvedimenti emanati in attuazione dell’art. 9 del D. Lgs. n. 38/2005]</w:t>
      </w:r>
      <w:r w:rsidRPr="00597FE5">
        <w:rPr>
          <w:rStyle w:val="FootnoteReference"/>
          <w:sz w:val="22"/>
          <w:szCs w:val="22"/>
        </w:rPr>
        <w:footnoteReference w:id="12"/>
      </w:r>
      <w:r w:rsidRPr="00597FE5">
        <w:rPr>
          <w:sz w:val="22"/>
          <w:szCs w:val="22"/>
        </w:rPr>
        <w:t xml:space="preserve">; esso pertanto è redatto con chiarezza e rappresenta in modo veritiero e corretto la situazione patrimoniale e finanziaria, il risultato economico ed i flussi di cassa del Gruppo ABC (della ABC S.p.A.) per l’esercizio chiuso a tale data. </w:t>
      </w:r>
    </w:p>
    <w:p w:rsidR="007B7D71" w:rsidRPr="00597FE5" w:rsidRDefault="007B7D71" w:rsidP="00DE5808">
      <w:pPr>
        <w:pStyle w:val="NewVIBulletNumber"/>
        <w:ind w:hanging="426"/>
        <w:rPr>
          <w:sz w:val="22"/>
          <w:szCs w:val="22"/>
        </w:rPr>
      </w:pPr>
    </w:p>
    <w:p w:rsidR="007B7D71" w:rsidRPr="00597FE5" w:rsidRDefault="007B7D71" w:rsidP="00DE5808">
      <w:pPr>
        <w:pStyle w:val="NewVIBulletNumber"/>
        <w:ind w:hanging="426"/>
        <w:rPr>
          <w:sz w:val="22"/>
          <w:szCs w:val="22"/>
        </w:rPr>
      </w:pPr>
      <w:r w:rsidRPr="00597FE5">
        <w:rPr>
          <w:sz w:val="22"/>
          <w:szCs w:val="22"/>
        </w:rPr>
        <w:t xml:space="preserve">4. </w:t>
      </w:r>
      <w:r w:rsidRPr="00597FE5">
        <w:rPr>
          <w:sz w:val="22"/>
          <w:szCs w:val="22"/>
        </w:rPr>
        <w:tab/>
        <w:t>[Il paragrafo riporterà eventuali richiami di informativa sul bilancio.]</w:t>
      </w:r>
    </w:p>
    <w:p w:rsidR="007B7D71" w:rsidRPr="00597FE5" w:rsidRDefault="007B7D71" w:rsidP="00DE5808">
      <w:pPr>
        <w:pStyle w:val="NewVIBulletNumber"/>
        <w:ind w:hanging="426"/>
        <w:rPr>
          <w:sz w:val="22"/>
          <w:szCs w:val="22"/>
        </w:rPr>
      </w:pPr>
    </w:p>
    <w:p w:rsidR="007B7D71" w:rsidRPr="00597FE5" w:rsidRDefault="007B7D71" w:rsidP="00DE5808">
      <w:pPr>
        <w:pStyle w:val="NewVIBulletNumber"/>
        <w:ind w:hanging="426"/>
        <w:rPr>
          <w:sz w:val="22"/>
          <w:szCs w:val="22"/>
        </w:rPr>
      </w:pPr>
      <w:r w:rsidRPr="00597FE5">
        <w:rPr>
          <w:sz w:val="22"/>
          <w:szCs w:val="22"/>
        </w:rPr>
        <w:t xml:space="preserve">5. </w:t>
      </w:r>
      <w:r w:rsidRPr="00597FE5">
        <w:rPr>
          <w:sz w:val="22"/>
          <w:szCs w:val="22"/>
        </w:rPr>
        <w:tab/>
        <w:t>[Paragrafo relativo al giudizio di coerenza della relazione sulla gestione con il bilancio]</w:t>
      </w:r>
      <w:r w:rsidRPr="00597FE5">
        <w:rPr>
          <w:rStyle w:val="FootnoteReference"/>
          <w:sz w:val="22"/>
          <w:szCs w:val="22"/>
        </w:rPr>
        <w:footnoteReference w:id="13"/>
      </w:r>
      <w:r w:rsidRPr="00597FE5">
        <w:rPr>
          <w:sz w:val="22"/>
          <w:szCs w:val="22"/>
        </w:rPr>
        <w:t>.</w:t>
      </w:r>
    </w:p>
    <w:p w:rsidR="007B7D71" w:rsidRPr="00597FE5" w:rsidRDefault="007B7D71" w:rsidP="007B7D71">
      <w:pPr>
        <w:pStyle w:val="NewVIText"/>
        <w:rPr>
          <w:rFonts w:ascii="Times New Roman" w:hAnsi="Times New Roman"/>
        </w:rPr>
      </w:pPr>
    </w:p>
    <w:p w:rsidR="00A06E98" w:rsidRDefault="00A06E98" w:rsidP="007B7D71">
      <w:pPr>
        <w:pStyle w:val="NewVIText"/>
        <w:rPr>
          <w:rFonts w:ascii="Times New Roman" w:hAnsi="Times New Roman"/>
        </w:rPr>
      </w:pPr>
    </w:p>
    <w:p w:rsidR="007B7D71" w:rsidRPr="00597FE5" w:rsidRDefault="007B7D71" w:rsidP="007B7D71">
      <w:pPr>
        <w:pStyle w:val="NewVIText"/>
        <w:rPr>
          <w:rFonts w:ascii="Times New Roman" w:hAnsi="Times New Roman"/>
        </w:rPr>
      </w:pPr>
      <w:r w:rsidRPr="00597FE5">
        <w:rPr>
          <w:rFonts w:ascii="Times New Roman" w:hAnsi="Times New Roman"/>
        </w:rPr>
        <w:t xml:space="preserve">[Luogo e data di emissione] </w:t>
      </w:r>
    </w:p>
    <w:p w:rsidR="007B7D71" w:rsidRDefault="007B7D71" w:rsidP="007B7D71">
      <w:pPr>
        <w:pStyle w:val="NewVIText"/>
        <w:rPr>
          <w:rFonts w:ascii="Times New Roman" w:hAnsi="Times New Roman"/>
        </w:rPr>
      </w:pPr>
    </w:p>
    <w:p w:rsidR="00910261" w:rsidRPr="00597FE5" w:rsidRDefault="00910261" w:rsidP="007B7D71">
      <w:pPr>
        <w:pStyle w:val="NewVIText"/>
        <w:rPr>
          <w:rFonts w:ascii="Times New Roman" w:hAnsi="Times New Roman"/>
        </w:rPr>
      </w:pPr>
    </w:p>
    <w:p w:rsidR="007B7D71" w:rsidRPr="00597FE5" w:rsidRDefault="007B7D71" w:rsidP="007B7D71">
      <w:pPr>
        <w:rPr>
          <w:sz w:val="22"/>
          <w:szCs w:val="22"/>
        </w:rPr>
      </w:pPr>
      <w:r w:rsidRPr="00597FE5">
        <w:rPr>
          <w:sz w:val="22"/>
          <w:szCs w:val="22"/>
        </w:rPr>
        <w:t>[Società di revisione S.p.A.]</w:t>
      </w:r>
    </w:p>
    <w:p w:rsidR="007B7D71" w:rsidRDefault="007B7D71" w:rsidP="007B7D71">
      <w:pPr>
        <w:rPr>
          <w:sz w:val="22"/>
          <w:szCs w:val="22"/>
        </w:rPr>
      </w:pPr>
    </w:p>
    <w:p w:rsidR="00910261" w:rsidRDefault="00910261" w:rsidP="007B7D71">
      <w:pPr>
        <w:rPr>
          <w:sz w:val="22"/>
          <w:szCs w:val="22"/>
        </w:rPr>
      </w:pPr>
    </w:p>
    <w:p w:rsidR="00910261" w:rsidRPr="00597FE5" w:rsidRDefault="00910261" w:rsidP="007B7D71">
      <w:pPr>
        <w:rPr>
          <w:sz w:val="22"/>
          <w:szCs w:val="22"/>
        </w:rPr>
      </w:pPr>
    </w:p>
    <w:p w:rsidR="007B7D71" w:rsidRPr="00597FE5" w:rsidRDefault="007B7D71" w:rsidP="007B7D71">
      <w:pPr>
        <w:rPr>
          <w:sz w:val="22"/>
          <w:szCs w:val="22"/>
        </w:rPr>
      </w:pPr>
      <w:r w:rsidRPr="00597FE5">
        <w:rPr>
          <w:sz w:val="22"/>
          <w:szCs w:val="22"/>
        </w:rPr>
        <w:t>[Nome e cognome]</w:t>
      </w:r>
    </w:p>
    <w:p w:rsidR="007B7D71" w:rsidRPr="00597FE5" w:rsidRDefault="007B7D71" w:rsidP="007B7D71">
      <w:pPr>
        <w:rPr>
          <w:sz w:val="22"/>
          <w:szCs w:val="22"/>
        </w:rPr>
      </w:pPr>
      <w:r w:rsidRPr="00597FE5">
        <w:rPr>
          <w:sz w:val="22"/>
          <w:szCs w:val="22"/>
        </w:rPr>
        <w:t>(Socio)</w:t>
      </w:r>
    </w:p>
    <w:p w:rsidR="007B7D71" w:rsidRPr="00597FE5" w:rsidRDefault="007B7D71" w:rsidP="007B7D71">
      <w:pPr>
        <w:rPr>
          <w:b/>
          <w:sz w:val="22"/>
          <w:szCs w:val="22"/>
        </w:rPr>
      </w:pPr>
      <w:r w:rsidRPr="00597FE5">
        <w:rPr>
          <w:b/>
          <w:sz w:val="22"/>
          <w:szCs w:val="22"/>
        </w:rPr>
        <w:br w:type="page"/>
      </w:r>
    </w:p>
    <w:p w:rsidR="007B7D71" w:rsidRPr="00597FE5" w:rsidRDefault="007B7D71" w:rsidP="007B7D71">
      <w:pPr>
        <w:pStyle w:val="NewVIText"/>
        <w:jc w:val="right"/>
        <w:rPr>
          <w:rFonts w:ascii="Times New Roman" w:hAnsi="Times New Roman"/>
          <w:b/>
        </w:rPr>
      </w:pPr>
      <w:r w:rsidRPr="00597FE5">
        <w:rPr>
          <w:rFonts w:ascii="Times New Roman" w:hAnsi="Times New Roman"/>
          <w:b/>
        </w:rPr>
        <w:lastRenderedPageBreak/>
        <w:t>Allegato B</w:t>
      </w:r>
    </w:p>
    <w:p w:rsidR="007B7D71" w:rsidRDefault="007B7D71" w:rsidP="007B7D71">
      <w:pPr>
        <w:pStyle w:val="NewVIText"/>
        <w:rPr>
          <w:rFonts w:ascii="Times New Roman" w:hAnsi="Times New Roman"/>
          <w:b/>
        </w:rPr>
      </w:pPr>
    </w:p>
    <w:p w:rsidR="00824AC4" w:rsidRPr="00597FE5" w:rsidRDefault="00824AC4" w:rsidP="007B7D71">
      <w:pPr>
        <w:pStyle w:val="NewVIText"/>
        <w:rPr>
          <w:rFonts w:ascii="Times New Roman" w:hAnsi="Times New Roman"/>
          <w:b/>
        </w:rPr>
      </w:pPr>
    </w:p>
    <w:p w:rsidR="007B7D71" w:rsidRPr="00597FE5" w:rsidRDefault="007B7D71" w:rsidP="007B7D71">
      <w:pPr>
        <w:pStyle w:val="NewVIBoldText"/>
        <w:jc w:val="center"/>
        <w:rPr>
          <w:rFonts w:ascii="Times New Roman" w:hAnsi="Times New Roman"/>
        </w:rPr>
      </w:pPr>
      <w:r w:rsidRPr="00597FE5">
        <w:rPr>
          <w:rFonts w:ascii="Times New Roman" w:hAnsi="Times New Roman"/>
        </w:rPr>
        <w:t>Relazione della società di revisione ai sensi dell'art. [norma di riferimento]</w:t>
      </w:r>
    </w:p>
    <w:p w:rsidR="007B7D71" w:rsidRPr="00597FE5" w:rsidRDefault="007B7D71" w:rsidP="007B7D71">
      <w:pPr>
        <w:pStyle w:val="NewVIText"/>
        <w:jc w:val="center"/>
        <w:rPr>
          <w:rFonts w:ascii="Times New Roman" w:hAnsi="Times New Roman"/>
          <w:b/>
        </w:rPr>
      </w:pPr>
      <w:r w:rsidRPr="00597FE5">
        <w:rPr>
          <w:rFonts w:ascii="Times New Roman" w:hAnsi="Times New Roman"/>
        </w:rPr>
        <w:t xml:space="preserve"> (</w:t>
      </w:r>
      <w:r w:rsidRPr="00597FE5">
        <w:rPr>
          <w:rFonts w:ascii="Times New Roman" w:hAnsi="Times New Roman"/>
          <w:b/>
        </w:rPr>
        <w:t xml:space="preserve">ora ai sensi dell’art. 14 del D. Lgs. </w:t>
      </w:r>
      <w:r w:rsidRPr="00597FE5">
        <w:rPr>
          <w:rFonts w:ascii="Times New Roman" w:hAnsi="Times New Roman"/>
          <w:b/>
          <w:smallCaps/>
        </w:rPr>
        <w:t xml:space="preserve">27.1.2010, </w:t>
      </w:r>
      <w:r w:rsidRPr="00597FE5">
        <w:rPr>
          <w:rFonts w:ascii="Times New Roman" w:hAnsi="Times New Roman"/>
          <w:b/>
        </w:rPr>
        <w:t>n</w:t>
      </w:r>
      <w:r w:rsidRPr="00597FE5">
        <w:rPr>
          <w:rFonts w:ascii="Times New Roman" w:hAnsi="Times New Roman"/>
          <w:b/>
          <w:smallCaps/>
        </w:rPr>
        <w:t>. 39</w:t>
      </w:r>
      <w:r w:rsidR="00DE0673" w:rsidRPr="00597FE5">
        <w:rPr>
          <w:rFonts w:ascii="Times New Roman" w:hAnsi="Times New Roman"/>
          <w:b/>
        </w:rPr>
        <w:t>)</w:t>
      </w:r>
    </w:p>
    <w:p w:rsidR="007B7D71" w:rsidRPr="00597FE5" w:rsidRDefault="007B7D71" w:rsidP="007B7D71">
      <w:pPr>
        <w:pStyle w:val="NewVIBoldText"/>
        <w:rPr>
          <w:rFonts w:ascii="Times New Roman" w:hAnsi="Times New Roman"/>
        </w:rPr>
      </w:pPr>
    </w:p>
    <w:p w:rsidR="007B7D71" w:rsidRPr="00597FE5" w:rsidRDefault="007B7D71" w:rsidP="007B7D71">
      <w:pPr>
        <w:jc w:val="center"/>
        <w:rPr>
          <w:b/>
          <w:i/>
          <w:sz w:val="22"/>
          <w:szCs w:val="22"/>
        </w:rPr>
      </w:pPr>
      <w:r w:rsidRPr="00597FE5">
        <w:rPr>
          <w:b/>
          <w:i/>
          <w:sz w:val="22"/>
          <w:szCs w:val="22"/>
        </w:rPr>
        <w:t>Principi contabili italiani</w:t>
      </w:r>
    </w:p>
    <w:p w:rsidR="007B7D71" w:rsidRDefault="007B7D71" w:rsidP="007B7D71">
      <w:pPr>
        <w:pStyle w:val="NewVIText"/>
        <w:rPr>
          <w:rFonts w:ascii="Times New Roman" w:hAnsi="Times New Roman"/>
        </w:rPr>
      </w:pPr>
    </w:p>
    <w:p w:rsidR="007B7D71" w:rsidRPr="00597FE5" w:rsidRDefault="007B7D71" w:rsidP="007B7D71">
      <w:pPr>
        <w:pStyle w:val="NewVIText"/>
        <w:rPr>
          <w:rFonts w:ascii="Times New Roman" w:hAnsi="Times New Roman"/>
        </w:rPr>
      </w:pPr>
      <w:r w:rsidRPr="00597FE5">
        <w:rPr>
          <w:rFonts w:ascii="Times New Roman" w:hAnsi="Times New Roman"/>
        </w:rPr>
        <w:t xml:space="preserve">Agli Azionisti della </w:t>
      </w:r>
    </w:p>
    <w:p w:rsidR="007B7D71" w:rsidRPr="00597FE5" w:rsidRDefault="007B7D71" w:rsidP="007B7D71">
      <w:pPr>
        <w:pStyle w:val="NewVIText"/>
        <w:rPr>
          <w:rFonts w:ascii="Times New Roman" w:hAnsi="Times New Roman"/>
        </w:rPr>
      </w:pPr>
      <w:r w:rsidRPr="00597FE5">
        <w:rPr>
          <w:rFonts w:ascii="Times New Roman" w:hAnsi="Times New Roman"/>
        </w:rPr>
        <w:t>ABC S.p.A.</w:t>
      </w:r>
    </w:p>
    <w:p w:rsidR="007B7D71" w:rsidRPr="00597FE5" w:rsidRDefault="007B7D71" w:rsidP="007B7D71">
      <w:pPr>
        <w:pStyle w:val="NewVIText"/>
        <w:rPr>
          <w:rFonts w:ascii="Times New Roman" w:hAnsi="Times New Roman"/>
        </w:rPr>
      </w:pPr>
    </w:p>
    <w:p w:rsidR="007B7D71" w:rsidRPr="00597FE5" w:rsidRDefault="007B7D71" w:rsidP="00A06E98">
      <w:pPr>
        <w:pStyle w:val="NewVIBulletNumber"/>
        <w:ind w:left="426" w:hanging="426"/>
        <w:rPr>
          <w:sz w:val="22"/>
          <w:szCs w:val="22"/>
        </w:rPr>
      </w:pPr>
      <w:r w:rsidRPr="00597FE5">
        <w:rPr>
          <w:sz w:val="22"/>
          <w:szCs w:val="22"/>
        </w:rPr>
        <w:t xml:space="preserve">1. </w:t>
      </w:r>
      <w:r w:rsidR="00A06E98">
        <w:rPr>
          <w:sz w:val="22"/>
          <w:szCs w:val="22"/>
        </w:rPr>
        <w:tab/>
      </w:r>
      <w:r w:rsidRPr="00597FE5">
        <w:rPr>
          <w:sz w:val="22"/>
          <w:szCs w:val="22"/>
        </w:rPr>
        <w:t xml:space="preserve">Abbiamo svolto la revisione </w:t>
      </w:r>
      <w:r w:rsidR="005B0A79" w:rsidRPr="00597FE5">
        <w:rPr>
          <w:sz w:val="22"/>
          <w:szCs w:val="22"/>
        </w:rPr>
        <w:t>contabi</w:t>
      </w:r>
      <w:r w:rsidRPr="00597FE5">
        <w:rPr>
          <w:sz w:val="22"/>
          <w:szCs w:val="22"/>
        </w:rPr>
        <w:t>le del bilancio d'esercizio (</w:t>
      </w:r>
      <w:r w:rsidRPr="00597FE5">
        <w:rPr>
          <w:b/>
          <w:sz w:val="22"/>
          <w:szCs w:val="22"/>
        </w:rPr>
        <w:t>consolidato)</w:t>
      </w:r>
      <w:r w:rsidRPr="00597FE5">
        <w:rPr>
          <w:sz w:val="22"/>
          <w:szCs w:val="22"/>
        </w:rPr>
        <w:t xml:space="preserve"> della ABC S.p.A. [</w:t>
      </w:r>
      <w:r w:rsidRPr="00597FE5">
        <w:rPr>
          <w:b/>
          <w:sz w:val="22"/>
          <w:szCs w:val="22"/>
        </w:rPr>
        <w:t xml:space="preserve">e sue controllate (“Gruppo ABC”)] </w:t>
      </w:r>
      <w:r w:rsidRPr="00597FE5">
        <w:rPr>
          <w:sz w:val="22"/>
          <w:szCs w:val="22"/>
        </w:rPr>
        <w:t>chiuso al ... [</w:t>
      </w:r>
      <w:r w:rsidRPr="00597FE5">
        <w:rPr>
          <w:b/>
          <w:sz w:val="22"/>
          <w:szCs w:val="22"/>
        </w:rPr>
        <w:t>data</w:t>
      </w:r>
      <w:r w:rsidRPr="00597FE5">
        <w:rPr>
          <w:sz w:val="22"/>
          <w:szCs w:val="22"/>
        </w:rPr>
        <w:t>]. La responsabilità della redazione del bilancio in conformità alle norme che ne disciplinano i criteri di redazione compete agli amministratori della ABC S.p.A.. È nostra la responsabilità del giudizio professionale espresso sul bilancio e basato sulla revisione contabile.</w:t>
      </w:r>
    </w:p>
    <w:p w:rsidR="007B7D71" w:rsidRPr="00597FE5" w:rsidRDefault="007B7D71" w:rsidP="00A06E98">
      <w:pPr>
        <w:pStyle w:val="NewVIBulletNumber"/>
        <w:ind w:left="426" w:hanging="426"/>
        <w:rPr>
          <w:sz w:val="22"/>
          <w:szCs w:val="22"/>
        </w:rPr>
      </w:pPr>
    </w:p>
    <w:p w:rsidR="007B7D71" w:rsidRPr="00597FE5" w:rsidRDefault="00910261" w:rsidP="00A06E98">
      <w:pPr>
        <w:pStyle w:val="NewVIBulletNumber"/>
        <w:ind w:left="426" w:hanging="426"/>
        <w:rPr>
          <w:sz w:val="22"/>
          <w:szCs w:val="22"/>
        </w:rPr>
      </w:pPr>
      <w:r>
        <w:rPr>
          <w:sz w:val="22"/>
          <w:szCs w:val="22"/>
        </w:rPr>
        <w:t>2.</w:t>
      </w:r>
      <w:r>
        <w:rPr>
          <w:sz w:val="22"/>
          <w:szCs w:val="22"/>
        </w:rPr>
        <w:tab/>
      </w:r>
      <w:r w:rsidR="007B7D71" w:rsidRPr="00597FE5">
        <w:rPr>
          <w:sz w:val="22"/>
          <w:szCs w:val="22"/>
        </w:rPr>
        <w:t>Il nostro esame è stato condotto secondo i principi di revisione emanati dal Consiglio Nazionale dei Dottori Commercialisti e degli Esperti Contabili e raccomandati dalla Consob [Il nostro esame è stato condotto secondo i principi e i criteri per la revisione contabile raccomandati dalla Consob]</w:t>
      </w:r>
      <w:r w:rsidR="007B7D71" w:rsidRPr="00597FE5">
        <w:rPr>
          <w:rStyle w:val="FootnoteReference"/>
          <w:sz w:val="22"/>
          <w:szCs w:val="22"/>
        </w:rPr>
        <w:footnoteReference w:id="14"/>
      </w:r>
      <w:r w:rsidR="007B7D71" w:rsidRPr="00597FE5">
        <w:rPr>
          <w:sz w:val="22"/>
          <w:szCs w:val="22"/>
        </w:rPr>
        <w:t>. In conformità ai predetti principi [e criteri]</w:t>
      </w:r>
      <w:r w:rsidR="007B7D71" w:rsidRPr="00597FE5">
        <w:rPr>
          <w:rStyle w:val="FootnoteReference"/>
          <w:sz w:val="22"/>
          <w:szCs w:val="22"/>
        </w:rPr>
        <w:footnoteReference w:id="15"/>
      </w:r>
      <w:r w:rsidR="007B7D71" w:rsidRPr="00597FE5">
        <w:rPr>
          <w:sz w:val="22"/>
          <w:szCs w:val="22"/>
        </w:rPr>
        <w:t>, la revisione è stata pianificata e svolta al fine di acquisire ogni elemento necessario per accertare se il bilancio d'esercizio [</w:t>
      </w:r>
      <w:r w:rsidR="007B7D71" w:rsidRPr="00597FE5">
        <w:rPr>
          <w:b/>
          <w:sz w:val="22"/>
          <w:szCs w:val="22"/>
        </w:rPr>
        <w:t>consolidato</w:t>
      </w:r>
      <w:r w:rsidR="007B7D71" w:rsidRPr="00597FE5">
        <w:rPr>
          <w:sz w:val="22"/>
          <w:szCs w:val="22"/>
        </w:rPr>
        <w:t xml:space="preserve">] sia viziato da errori significativi e se risulti, nel suo complesso, attendibile. Il procedimento di revisione comprende l'esame, sulla base di verifiche a campione, degli elementi probativi a supporto dei saldi e delle informazioni contenuti nel bilancio, nonché la valutazione dell'adeguatezza e della correttezza dei criteri contabili utilizzati e della ragionevolezza delle stime effettuate dagli amministratori. Riteniamo che il lavoro svolto fornisca una ragionevole base per l'espressione del nostro giudizio professionale. </w:t>
      </w:r>
    </w:p>
    <w:p w:rsidR="007B7D71" w:rsidRPr="00597FE5" w:rsidRDefault="007B7D71" w:rsidP="00A06E98">
      <w:pPr>
        <w:pStyle w:val="NewVIBulletNumber"/>
        <w:ind w:left="426" w:hanging="426"/>
        <w:rPr>
          <w:sz w:val="22"/>
          <w:szCs w:val="22"/>
        </w:rPr>
      </w:pPr>
    </w:p>
    <w:p w:rsidR="007B7D71" w:rsidRDefault="00A06E98" w:rsidP="00A06E98">
      <w:pPr>
        <w:pStyle w:val="NewVIBulletNumber"/>
        <w:ind w:left="426" w:hanging="426"/>
        <w:rPr>
          <w:sz w:val="22"/>
          <w:szCs w:val="22"/>
        </w:rPr>
      </w:pPr>
      <w:r>
        <w:rPr>
          <w:sz w:val="22"/>
          <w:szCs w:val="22"/>
        </w:rPr>
        <w:tab/>
      </w:r>
      <w:r w:rsidR="007B7D71" w:rsidRPr="00597FE5">
        <w:rPr>
          <w:sz w:val="22"/>
          <w:szCs w:val="22"/>
        </w:rPr>
        <w:t>[</w:t>
      </w:r>
      <w:r w:rsidR="00DE0673" w:rsidRPr="00597FE5">
        <w:rPr>
          <w:b/>
          <w:sz w:val="22"/>
          <w:szCs w:val="22"/>
          <w:u w:val="single"/>
        </w:rPr>
        <w:t>P</w:t>
      </w:r>
      <w:r w:rsidR="007B7D71" w:rsidRPr="00597FE5">
        <w:rPr>
          <w:b/>
          <w:sz w:val="22"/>
          <w:szCs w:val="22"/>
          <w:u w:val="single"/>
        </w:rPr>
        <w:t>er il bilancio d’esercizio</w:t>
      </w:r>
      <w:r w:rsidR="00DF4287" w:rsidRPr="00597FE5">
        <w:rPr>
          <w:rStyle w:val="FootnoteReference"/>
          <w:b/>
          <w:sz w:val="22"/>
          <w:szCs w:val="22"/>
          <w:u w:val="single"/>
        </w:rPr>
        <w:footnoteReference w:id="16"/>
      </w:r>
      <w:r w:rsidR="007B7D71" w:rsidRPr="00597FE5">
        <w:rPr>
          <w:sz w:val="22"/>
          <w:szCs w:val="22"/>
        </w:rPr>
        <w:t xml:space="preserve"> La responsabilità dei lavori di revisione contabile dei bilanci di alcune società controllate e collegate, per quanto riguarda importi delle partecipazioni che rappresentano … (valore o %) e … (valore o %) rispettivamente della voce partecipazioni e del totale attivo, è di altri revisori.]</w:t>
      </w:r>
    </w:p>
    <w:p w:rsidR="00772D87" w:rsidRPr="00597FE5" w:rsidRDefault="00772D87" w:rsidP="00A06E98">
      <w:pPr>
        <w:pStyle w:val="NewVIBulletNumber"/>
        <w:ind w:left="426" w:hanging="426"/>
        <w:rPr>
          <w:sz w:val="22"/>
          <w:szCs w:val="22"/>
        </w:rPr>
      </w:pPr>
    </w:p>
    <w:p w:rsidR="007B7D71" w:rsidRPr="00597FE5" w:rsidRDefault="00A06E98" w:rsidP="00A06E98">
      <w:pPr>
        <w:pStyle w:val="NewVIBulletNumber"/>
        <w:ind w:left="426" w:hanging="426"/>
        <w:rPr>
          <w:sz w:val="22"/>
          <w:szCs w:val="22"/>
        </w:rPr>
      </w:pPr>
      <w:r>
        <w:rPr>
          <w:sz w:val="22"/>
          <w:szCs w:val="22"/>
        </w:rPr>
        <w:tab/>
      </w:r>
      <w:r w:rsidR="007B7D71" w:rsidRPr="00597FE5">
        <w:rPr>
          <w:sz w:val="22"/>
          <w:szCs w:val="22"/>
        </w:rPr>
        <w:t>[</w:t>
      </w:r>
      <w:r w:rsidR="007B7D71" w:rsidRPr="00597FE5">
        <w:rPr>
          <w:b/>
          <w:sz w:val="22"/>
          <w:szCs w:val="22"/>
          <w:u w:val="single"/>
        </w:rPr>
        <w:t>Per il bilancio consolidato</w:t>
      </w:r>
      <w:r w:rsidR="00DF4287" w:rsidRPr="00597FE5">
        <w:rPr>
          <w:rStyle w:val="FootnoteReference"/>
          <w:b/>
          <w:sz w:val="22"/>
          <w:szCs w:val="22"/>
          <w:u w:val="single"/>
        </w:rPr>
        <w:footnoteReference w:id="17"/>
      </w:r>
      <w:r w:rsidR="007B7D71" w:rsidRPr="00597FE5">
        <w:rPr>
          <w:sz w:val="22"/>
          <w:szCs w:val="22"/>
        </w:rPr>
        <w:t xml:space="preserve"> La responsabilità dei lavori di revisione contabile dei bilanci di alcune società controllate e collegate, che rappresentano … (valore o %) dell’attivo consolidato e … (valore o %) dei ricavi consolidati, è di altri revisori.]</w:t>
      </w:r>
    </w:p>
    <w:p w:rsidR="007B7D71" w:rsidRPr="00597FE5" w:rsidRDefault="007B7D71" w:rsidP="00A06E98">
      <w:pPr>
        <w:pStyle w:val="NewVIBulletNumber"/>
        <w:ind w:left="426" w:hanging="426"/>
        <w:rPr>
          <w:sz w:val="22"/>
          <w:szCs w:val="22"/>
        </w:rPr>
      </w:pPr>
    </w:p>
    <w:p w:rsidR="007B7D71" w:rsidRPr="00597FE5" w:rsidRDefault="00A06E98" w:rsidP="00A06E98">
      <w:pPr>
        <w:pStyle w:val="NewVIBulletNumber"/>
        <w:ind w:left="426" w:hanging="426"/>
        <w:rPr>
          <w:sz w:val="22"/>
          <w:szCs w:val="22"/>
        </w:rPr>
      </w:pPr>
      <w:r>
        <w:rPr>
          <w:sz w:val="22"/>
          <w:szCs w:val="22"/>
        </w:rPr>
        <w:tab/>
      </w:r>
      <w:r w:rsidR="007B7D71" w:rsidRPr="00597FE5">
        <w:rPr>
          <w:sz w:val="22"/>
          <w:szCs w:val="22"/>
        </w:rPr>
        <w:t>La revisione contabile sul bilancio d'esercizio (consolidato) al … [data] è stata svolta in conformità alla normativa vigent</w:t>
      </w:r>
      <w:r w:rsidR="00DE0673" w:rsidRPr="00597FE5">
        <w:rPr>
          <w:sz w:val="22"/>
          <w:szCs w:val="22"/>
        </w:rPr>
        <w:t>e nel corso di tale esercizio.</w:t>
      </w:r>
    </w:p>
    <w:p w:rsidR="007B7D71" w:rsidRPr="00597FE5" w:rsidRDefault="007B7D71" w:rsidP="00A06E98">
      <w:pPr>
        <w:pStyle w:val="NewVIBulletNumber"/>
        <w:ind w:left="426" w:hanging="426"/>
        <w:rPr>
          <w:sz w:val="22"/>
          <w:szCs w:val="22"/>
        </w:rPr>
      </w:pPr>
    </w:p>
    <w:p w:rsidR="007B7D71" w:rsidRPr="00597FE5" w:rsidRDefault="00824AC4" w:rsidP="00A06E98">
      <w:pPr>
        <w:pStyle w:val="NewVIBulletNumber"/>
        <w:ind w:left="426" w:hanging="426"/>
        <w:rPr>
          <w:sz w:val="22"/>
          <w:szCs w:val="22"/>
        </w:rPr>
      </w:pPr>
      <w:r>
        <w:rPr>
          <w:sz w:val="22"/>
          <w:szCs w:val="22"/>
        </w:rPr>
        <w:tab/>
      </w:r>
      <w:r w:rsidR="007B7D71" w:rsidRPr="00597FE5">
        <w:rPr>
          <w:sz w:val="22"/>
          <w:szCs w:val="22"/>
        </w:rPr>
        <w:t>Per il giudizio relativo al bilancio [</w:t>
      </w:r>
      <w:r w:rsidR="007B7D71" w:rsidRPr="00597FE5">
        <w:rPr>
          <w:b/>
          <w:sz w:val="22"/>
          <w:szCs w:val="22"/>
        </w:rPr>
        <w:t>consolidato</w:t>
      </w:r>
      <w:r w:rsidR="007B7D71" w:rsidRPr="00597FE5">
        <w:rPr>
          <w:sz w:val="22"/>
          <w:szCs w:val="22"/>
        </w:rPr>
        <w:t>] dell'esercizio precedente, i cui dati sono presentati ai fini comparativi secondo quanto richiesto dalla legge, si fa riferimento alla relazione da noi emessa [</w:t>
      </w:r>
      <w:r w:rsidR="007B7D71" w:rsidRPr="00597FE5">
        <w:rPr>
          <w:b/>
          <w:sz w:val="22"/>
          <w:szCs w:val="22"/>
        </w:rPr>
        <w:t>emessa da altra società di revisione</w:t>
      </w:r>
      <w:r w:rsidR="007B7D71" w:rsidRPr="00597FE5">
        <w:rPr>
          <w:sz w:val="22"/>
          <w:szCs w:val="22"/>
        </w:rPr>
        <w:t>]</w:t>
      </w:r>
      <w:r w:rsidR="007B7D71" w:rsidRPr="00597FE5">
        <w:rPr>
          <w:b/>
          <w:sz w:val="22"/>
          <w:szCs w:val="22"/>
        </w:rPr>
        <w:t xml:space="preserve"> </w:t>
      </w:r>
      <w:r w:rsidR="007B7D71" w:rsidRPr="00597FE5">
        <w:rPr>
          <w:sz w:val="22"/>
          <w:szCs w:val="22"/>
        </w:rPr>
        <w:t>in data ... [</w:t>
      </w:r>
      <w:r w:rsidR="007B7D71" w:rsidRPr="00597FE5">
        <w:rPr>
          <w:b/>
          <w:sz w:val="22"/>
          <w:szCs w:val="22"/>
        </w:rPr>
        <w:t>data</w:t>
      </w:r>
      <w:r w:rsidR="007B7D71" w:rsidRPr="00597FE5">
        <w:rPr>
          <w:sz w:val="22"/>
          <w:szCs w:val="22"/>
        </w:rPr>
        <w:t>].</w:t>
      </w:r>
    </w:p>
    <w:p w:rsidR="007B7D71" w:rsidRDefault="007B7D71" w:rsidP="00A06E98">
      <w:pPr>
        <w:pStyle w:val="NewVIBulletNumber"/>
        <w:ind w:left="426" w:hanging="426"/>
        <w:rPr>
          <w:sz w:val="22"/>
          <w:szCs w:val="22"/>
        </w:rPr>
      </w:pPr>
    </w:p>
    <w:p w:rsidR="006B46A1" w:rsidRPr="00597FE5" w:rsidRDefault="006B46A1" w:rsidP="00A06E98">
      <w:pPr>
        <w:pStyle w:val="NewVIBulletNumber"/>
        <w:ind w:left="426" w:hanging="426"/>
        <w:rPr>
          <w:sz w:val="22"/>
          <w:szCs w:val="22"/>
        </w:rPr>
      </w:pPr>
    </w:p>
    <w:p w:rsidR="007B7D71" w:rsidRPr="00597FE5" w:rsidRDefault="00824AC4" w:rsidP="00A06E98">
      <w:pPr>
        <w:pStyle w:val="NewVIBulletNumber"/>
        <w:ind w:left="426" w:hanging="426"/>
        <w:rPr>
          <w:sz w:val="22"/>
          <w:szCs w:val="22"/>
        </w:rPr>
      </w:pPr>
      <w:r>
        <w:rPr>
          <w:sz w:val="22"/>
          <w:szCs w:val="22"/>
        </w:rPr>
        <w:lastRenderedPageBreak/>
        <w:t>3.</w:t>
      </w:r>
      <w:r w:rsidR="007B7D71" w:rsidRPr="00597FE5">
        <w:rPr>
          <w:sz w:val="22"/>
          <w:szCs w:val="22"/>
        </w:rPr>
        <w:tab/>
        <w:t>A nostro giudizio, il bilancio d'esercizio [</w:t>
      </w:r>
      <w:r w:rsidR="007B7D71" w:rsidRPr="00597FE5">
        <w:rPr>
          <w:b/>
          <w:sz w:val="22"/>
          <w:szCs w:val="22"/>
        </w:rPr>
        <w:t>consolidato</w:t>
      </w:r>
      <w:r w:rsidR="007B7D71" w:rsidRPr="00597FE5">
        <w:rPr>
          <w:sz w:val="22"/>
          <w:szCs w:val="22"/>
        </w:rPr>
        <w:t>] della ABC S.p.A. [</w:t>
      </w:r>
      <w:r w:rsidR="007B7D71" w:rsidRPr="00597FE5">
        <w:rPr>
          <w:b/>
          <w:sz w:val="22"/>
          <w:szCs w:val="22"/>
        </w:rPr>
        <w:t>del Gruppo ABC</w:t>
      </w:r>
      <w:r w:rsidR="007B7D71" w:rsidRPr="00597FE5">
        <w:rPr>
          <w:sz w:val="22"/>
          <w:szCs w:val="22"/>
        </w:rPr>
        <w:t>] al ... [</w:t>
      </w:r>
      <w:r w:rsidR="007B7D71" w:rsidRPr="00597FE5">
        <w:rPr>
          <w:b/>
          <w:sz w:val="22"/>
          <w:szCs w:val="22"/>
        </w:rPr>
        <w:t>data</w:t>
      </w:r>
      <w:r w:rsidR="007B7D71" w:rsidRPr="00597FE5">
        <w:rPr>
          <w:sz w:val="22"/>
          <w:szCs w:val="22"/>
        </w:rPr>
        <w:t>] è conforme alle norme che ne disciplinano i criteri di redazione; esso pertanto è redatto con chiarezza e rappresenta in modo veritiero e corretto la situazione patrimoniale e finanziaria e il risultato economico della Società [</w:t>
      </w:r>
      <w:r w:rsidR="007B7D71" w:rsidRPr="00597FE5">
        <w:rPr>
          <w:b/>
          <w:sz w:val="22"/>
          <w:szCs w:val="22"/>
        </w:rPr>
        <w:t>del Gruppo</w:t>
      </w:r>
      <w:r w:rsidR="007B7D71" w:rsidRPr="00597FE5">
        <w:rPr>
          <w:sz w:val="22"/>
          <w:szCs w:val="22"/>
        </w:rPr>
        <w:t>] per l’esercizio chiuso a tale data.</w:t>
      </w:r>
    </w:p>
    <w:p w:rsidR="007B7D71" w:rsidRPr="00597FE5" w:rsidRDefault="007B7D71" w:rsidP="00A06E98">
      <w:pPr>
        <w:pStyle w:val="NewVIBulletNumber"/>
        <w:ind w:left="426" w:hanging="426"/>
        <w:rPr>
          <w:sz w:val="22"/>
          <w:szCs w:val="22"/>
        </w:rPr>
      </w:pPr>
    </w:p>
    <w:p w:rsidR="007B7D71" w:rsidRPr="00597FE5" w:rsidRDefault="00824AC4" w:rsidP="00A06E98">
      <w:pPr>
        <w:pStyle w:val="NewVIBulletNumber"/>
        <w:ind w:left="426" w:hanging="426"/>
        <w:rPr>
          <w:sz w:val="22"/>
          <w:szCs w:val="22"/>
        </w:rPr>
      </w:pPr>
      <w:r>
        <w:rPr>
          <w:sz w:val="22"/>
          <w:szCs w:val="22"/>
        </w:rPr>
        <w:t>4.</w:t>
      </w:r>
      <w:r>
        <w:rPr>
          <w:sz w:val="22"/>
          <w:szCs w:val="22"/>
        </w:rPr>
        <w:tab/>
      </w:r>
      <w:r w:rsidR="007B7D71" w:rsidRPr="00597FE5">
        <w:rPr>
          <w:sz w:val="22"/>
          <w:szCs w:val="22"/>
        </w:rPr>
        <w:t>[Il paragrafo riporterà eventuali richiami di informativa sul bilancio.]</w:t>
      </w:r>
    </w:p>
    <w:p w:rsidR="007B7D71" w:rsidRPr="00597FE5" w:rsidRDefault="007B7D71" w:rsidP="00A06E98">
      <w:pPr>
        <w:pStyle w:val="NewVIBulletNumber"/>
        <w:ind w:left="426" w:hanging="426"/>
        <w:rPr>
          <w:sz w:val="22"/>
          <w:szCs w:val="22"/>
        </w:rPr>
      </w:pPr>
    </w:p>
    <w:p w:rsidR="007B7D71" w:rsidRPr="00597FE5" w:rsidRDefault="00824AC4" w:rsidP="00A06E98">
      <w:pPr>
        <w:pStyle w:val="NewVIBulletNumber"/>
        <w:ind w:left="426" w:hanging="426"/>
        <w:rPr>
          <w:sz w:val="22"/>
          <w:szCs w:val="22"/>
        </w:rPr>
      </w:pPr>
      <w:r>
        <w:rPr>
          <w:sz w:val="22"/>
          <w:szCs w:val="22"/>
        </w:rPr>
        <w:t>5.</w:t>
      </w:r>
      <w:r>
        <w:rPr>
          <w:sz w:val="22"/>
          <w:szCs w:val="22"/>
        </w:rPr>
        <w:tab/>
      </w:r>
      <w:r w:rsidR="007B7D71" w:rsidRPr="00597FE5">
        <w:rPr>
          <w:sz w:val="22"/>
          <w:szCs w:val="22"/>
        </w:rPr>
        <w:t>[Paragrafo relativo al giudizio di coerenza della relazione sulla gestione con il bilancio.]</w:t>
      </w:r>
      <w:r w:rsidR="007B7D71" w:rsidRPr="00597FE5">
        <w:rPr>
          <w:rStyle w:val="FootnoteReference"/>
          <w:sz w:val="22"/>
          <w:szCs w:val="22"/>
        </w:rPr>
        <w:t xml:space="preserve"> </w:t>
      </w:r>
      <w:r w:rsidR="007B7D71" w:rsidRPr="00597FE5">
        <w:rPr>
          <w:rStyle w:val="FootnoteReference"/>
          <w:sz w:val="22"/>
          <w:szCs w:val="22"/>
        </w:rPr>
        <w:footnoteReference w:id="18"/>
      </w:r>
    </w:p>
    <w:p w:rsidR="007B7D71" w:rsidRDefault="007B7D71" w:rsidP="007B7D71">
      <w:pPr>
        <w:pStyle w:val="NewVIText"/>
        <w:rPr>
          <w:rFonts w:ascii="Times New Roman" w:hAnsi="Times New Roman"/>
        </w:rPr>
      </w:pPr>
    </w:p>
    <w:p w:rsidR="00910261" w:rsidRPr="00597FE5" w:rsidRDefault="00910261" w:rsidP="007B7D71">
      <w:pPr>
        <w:pStyle w:val="NewVIText"/>
        <w:rPr>
          <w:rFonts w:ascii="Times New Roman" w:hAnsi="Times New Roman"/>
        </w:rPr>
      </w:pPr>
    </w:p>
    <w:p w:rsidR="007B7D71" w:rsidRPr="00597FE5" w:rsidRDefault="007B7D71" w:rsidP="007B7D71">
      <w:pPr>
        <w:pStyle w:val="NewVIText"/>
        <w:rPr>
          <w:rFonts w:ascii="Times New Roman" w:hAnsi="Times New Roman"/>
        </w:rPr>
      </w:pPr>
      <w:r w:rsidRPr="00597FE5">
        <w:rPr>
          <w:rFonts w:ascii="Times New Roman" w:hAnsi="Times New Roman"/>
        </w:rPr>
        <w:t xml:space="preserve">[Luogo e data di emissione] </w:t>
      </w:r>
    </w:p>
    <w:p w:rsidR="007B7D71" w:rsidRPr="00597FE5" w:rsidRDefault="007B7D71" w:rsidP="007B7D71">
      <w:pPr>
        <w:pStyle w:val="NewVIText"/>
        <w:rPr>
          <w:rFonts w:ascii="Times New Roman" w:hAnsi="Times New Roman"/>
        </w:rPr>
      </w:pPr>
    </w:p>
    <w:p w:rsidR="007B7D71" w:rsidRPr="00597FE5" w:rsidRDefault="007B7D71" w:rsidP="007B7D71">
      <w:pPr>
        <w:pStyle w:val="NewVIText"/>
        <w:rPr>
          <w:rFonts w:ascii="Times New Roman" w:hAnsi="Times New Roman"/>
        </w:rPr>
      </w:pPr>
      <w:r w:rsidRPr="00597FE5">
        <w:rPr>
          <w:rFonts w:ascii="Times New Roman" w:hAnsi="Times New Roman"/>
        </w:rPr>
        <w:t xml:space="preserve"> </w:t>
      </w:r>
    </w:p>
    <w:p w:rsidR="007B7D71" w:rsidRPr="00597FE5" w:rsidRDefault="007B7D71" w:rsidP="007B7D71">
      <w:pPr>
        <w:rPr>
          <w:sz w:val="22"/>
          <w:szCs w:val="22"/>
        </w:rPr>
      </w:pPr>
      <w:r w:rsidRPr="00597FE5">
        <w:rPr>
          <w:sz w:val="22"/>
          <w:szCs w:val="22"/>
        </w:rPr>
        <w:t>[Società di revisione S.p.A.]</w:t>
      </w:r>
    </w:p>
    <w:p w:rsidR="007B7D71" w:rsidRPr="00597FE5" w:rsidRDefault="007B7D71" w:rsidP="007B7D71">
      <w:pPr>
        <w:rPr>
          <w:sz w:val="22"/>
          <w:szCs w:val="22"/>
        </w:rPr>
      </w:pPr>
    </w:p>
    <w:p w:rsidR="007B7D71" w:rsidRDefault="007B7D71" w:rsidP="007B7D71">
      <w:pPr>
        <w:rPr>
          <w:sz w:val="22"/>
          <w:szCs w:val="22"/>
        </w:rPr>
      </w:pPr>
    </w:p>
    <w:p w:rsidR="00910261" w:rsidRPr="00597FE5" w:rsidRDefault="00910261" w:rsidP="007B7D71">
      <w:pPr>
        <w:rPr>
          <w:sz w:val="22"/>
          <w:szCs w:val="22"/>
        </w:rPr>
      </w:pPr>
    </w:p>
    <w:p w:rsidR="007B7D71" w:rsidRPr="00597FE5" w:rsidRDefault="007B7D71" w:rsidP="007B7D71">
      <w:pPr>
        <w:rPr>
          <w:sz w:val="22"/>
          <w:szCs w:val="22"/>
        </w:rPr>
      </w:pPr>
      <w:r w:rsidRPr="00597FE5">
        <w:rPr>
          <w:sz w:val="22"/>
          <w:szCs w:val="22"/>
        </w:rPr>
        <w:t>[Nome e cognome]</w:t>
      </w:r>
    </w:p>
    <w:p w:rsidR="007B7D71" w:rsidRPr="00597FE5" w:rsidRDefault="007B7D71" w:rsidP="007B7D71">
      <w:pPr>
        <w:rPr>
          <w:sz w:val="22"/>
          <w:szCs w:val="22"/>
        </w:rPr>
      </w:pPr>
      <w:r w:rsidRPr="00597FE5">
        <w:rPr>
          <w:sz w:val="22"/>
          <w:szCs w:val="22"/>
        </w:rPr>
        <w:t>(Socio)</w:t>
      </w:r>
    </w:p>
    <w:p w:rsidR="007B7D71" w:rsidRPr="00597FE5" w:rsidRDefault="007B7D71" w:rsidP="007B7D71">
      <w:pPr>
        <w:pStyle w:val="NormalWeb"/>
        <w:jc w:val="both"/>
        <w:rPr>
          <w:b/>
          <w:sz w:val="22"/>
          <w:szCs w:val="22"/>
          <w:lang w:val="it-IT"/>
        </w:rPr>
      </w:pPr>
    </w:p>
    <w:p w:rsidR="00E431D9" w:rsidRPr="00597FE5" w:rsidRDefault="00E431D9">
      <w:pPr>
        <w:rPr>
          <w:sz w:val="22"/>
          <w:szCs w:val="22"/>
        </w:rPr>
      </w:pPr>
    </w:p>
    <w:sectPr w:rsidR="00E431D9" w:rsidRPr="00597FE5" w:rsidSect="00270D4A">
      <w:footnotePr>
        <w:numRestart w:val="eachSect"/>
      </w:footnotePr>
      <w:pgSz w:w="11907" w:h="16840" w:code="9"/>
      <w:pgMar w:top="2013" w:right="1701" w:bottom="144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C66" w:rsidRDefault="006F6C66" w:rsidP="007B7D71">
      <w:r>
        <w:separator/>
      </w:r>
    </w:p>
  </w:endnote>
  <w:endnote w:type="continuationSeparator" w:id="0">
    <w:p w:rsidR="006F6C66" w:rsidRDefault="006F6C66" w:rsidP="007B7D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YInterstate Light">
    <w:charset w:val="00"/>
    <w:family w:val="auto"/>
    <w:pitch w:val="variable"/>
    <w:sig w:usb0="800000AF" w:usb1="5000204A"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C66" w:rsidRDefault="006F6C66" w:rsidP="007B7D71">
      <w:r>
        <w:separator/>
      </w:r>
    </w:p>
  </w:footnote>
  <w:footnote w:type="continuationSeparator" w:id="0">
    <w:p w:rsidR="006F6C66" w:rsidRDefault="006F6C66" w:rsidP="007B7D71">
      <w:r>
        <w:continuationSeparator/>
      </w:r>
    </w:p>
  </w:footnote>
  <w:footnote w:id="1">
    <w:p w:rsidR="007B7D71" w:rsidRPr="00910261" w:rsidRDefault="007B7D71" w:rsidP="00597FE5">
      <w:pPr>
        <w:pStyle w:val="FootnoteText"/>
        <w:ind w:left="284" w:hanging="284"/>
        <w:jc w:val="both"/>
        <w:rPr>
          <w:sz w:val="16"/>
          <w:szCs w:val="16"/>
        </w:rPr>
      </w:pPr>
      <w:r w:rsidRPr="00910261">
        <w:rPr>
          <w:rStyle w:val="FootnoteReference"/>
          <w:sz w:val="16"/>
          <w:szCs w:val="16"/>
        </w:rPr>
        <w:footnoteRef/>
      </w:r>
      <w:r w:rsidRPr="00910261">
        <w:rPr>
          <w:rStyle w:val="FootnoteReference"/>
          <w:sz w:val="16"/>
          <w:szCs w:val="16"/>
        </w:rPr>
        <w:t xml:space="preserve">  </w:t>
      </w:r>
      <w:r w:rsidR="00597FE5" w:rsidRPr="00910261">
        <w:rPr>
          <w:sz w:val="16"/>
          <w:szCs w:val="16"/>
        </w:rPr>
        <w:tab/>
      </w:r>
      <w:r w:rsidRPr="00910261">
        <w:rPr>
          <w:sz w:val="16"/>
          <w:szCs w:val="16"/>
        </w:rPr>
        <w:t xml:space="preserve">Da adattare alle scelte adottate dalla società per quanto riguarda la denominazione dei prospetti contabili. </w:t>
      </w:r>
    </w:p>
  </w:footnote>
  <w:footnote w:id="2">
    <w:p w:rsidR="007B7D71" w:rsidRPr="00910261" w:rsidRDefault="007B7D71" w:rsidP="00597FE5">
      <w:pPr>
        <w:pStyle w:val="FootnoteText"/>
        <w:ind w:left="284" w:hanging="284"/>
        <w:jc w:val="both"/>
        <w:rPr>
          <w:sz w:val="16"/>
          <w:szCs w:val="16"/>
        </w:rPr>
      </w:pPr>
      <w:r w:rsidRPr="00910261">
        <w:rPr>
          <w:rStyle w:val="FootnoteReference"/>
          <w:sz w:val="16"/>
          <w:szCs w:val="16"/>
        </w:rPr>
        <w:footnoteRef/>
      </w:r>
      <w:r w:rsidRPr="00910261">
        <w:rPr>
          <w:sz w:val="16"/>
          <w:szCs w:val="16"/>
        </w:rPr>
        <w:t xml:space="preserve">  </w:t>
      </w:r>
      <w:r w:rsidR="00597FE5" w:rsidRPr="00910261">
        <w:rPr>
          <w:sz w:val="16"/>
          <w:szCs w:val="16"/>
        </w:rPr>
        <w:tab/>
      </w:r>
      <w:r w:rsidRPr="00910261">
        <w:rPr>
          <w:sz w:val="16"/>
          <w:szCs w:val="16"/>
        </w:rPr>
        <w:t xml:space="preserve">Da adattare alla presentazione selezionata dalla società ai sensi di IAS 1.81. a) – unico prospetto – oppure IAS 1.81.b) – due prospetti. Vedi  anche nota 1.  </w:t>
      </w:r>
    </w:p>
  </w:footnote>
  <w:footnote w:id="3">
    <w:p w:rsidR="007B7D71" w:rsidRPr="00910261" w:rsidRDefault="007B7D71" w:rsidP="00597FE5">
      <w:pPr>
        <w:pStyle w:val="FootnoteText"/>
        <w:ind w:left="284" w:hanging="284"/>
        <w:jc w:val="both"/>
        <w:rPr>
          <w:sz w:val="16"/>
          <w:szCs w:val="16"/>
          <w:lang w:eastAsia="en-US"/>
        </w:rPr>
      </w:pPr>
      <w:r w:rsidRPr="00910261">
        <w:rPr>
          <w:rStyle w:val="FootnoteReference"/>
          <w:sz w:val="16"/>
          <w:szCs w:val="16"/>
        </w:rPr>
        <w:footnoteRef/>
      </w:r>
      <w:r w:rsidRPr="00910261">
        <w:rPr>
          <w:sz w:val="16"/>
          <w:szCs w:val="16"/>
        </w:rPr>
        <w:t xml:space="preserve"> </w:t>
      </w:r>
      <w:r w:rsidR="00E65AA7" w:rsidRPr="00910261">
        <w:rPr>
          <w:sz w:val="16"/>
          <w:szCs w:val="16"/>
        </w:rPr>
        <w:t xml:space="preserve"> </w:t>
      </w:r>
      <w:r w:rsidR="00597FE5" w:rsidRPr="00910261">
        <w:rPr>
          <w:sz w:val="16"/>
          <w:szCs w:val="16"/>
        </w:rPr>
        <w:tab/>
      </w:r>
      <w:r w:rsidR="00E65AA7" w:rsidRPr="00910261">
        <w:rPr>
          <w:sz w:val="16"/>
          <w:szCs w:val="16"/>
        </w:rPr>
        <w:t xml:space="preserve">Da utilizzare nel caso di revisione TUF. </w:t>
      </w:r>
      <w:r w:rsidR="00E65AA7" w:rsidRPr="00910261">
        <w:rPr>
          <w:sz w:val="16"/>
          <w:szCs w:val="16"/>
          <w:lang w:eastAsia="en-US"/>
        </w:rPr>
        <w:t xml:space="preserve"> Non applicabile alle società controllate di quotate non operanti nei settori regolamentati da Banca d’Italia e alle altre società che utilizzano le opzioni ammesse dal D.Lgs. 38/2005 ai fini dell’applicazione dei principi contabili IFRS.</w:t>
      </w:r>
    </w:p>
  </w:footnote>
  <w:footnote w:id="4">
    <w:p w:rsidR="007B7D71" w:rsidRPr="00910261" w:rsidRDefault="007B7D71" w:rsidP="00597FE5">
      <w:pPr>
        <w:pStyle w:val="FootnoteText"/>
        <w:ind w:left="284" w:hanging="284"/>
        <w:rPr>
          <w:sz w:val="16"/>
          <w:szCs w:val="16"/>
        </w:rPr>
      </w:pPr>
      <w:r w:rsidRPr="00910261">
        <w:rPr>
          <w:rStyle w:val="FootnoteReference"/>
          <w:sz w:val="16"/>
          <w:szCs w:val="16"/>
        </w:rPr>
        <w:footnoteRef/>
      </w:r>
      <w:r w:rsidRPr="00910261">
        <w:rPr>
          <w:sz w:val="16"/>
          <w:szCs w:val="16"/>
        </w:rPr>
        <w:t xml:space="preserve"> </w:t>
      </w:r>
      <w:r w:rsidR="00597FE5" w:rsidRPr="00910261">
        <w:rPr>
          <w:sz w:val="16"/>
          <w:szCs w:val="16"/>
        </w:rPr>
        <w:tab/>
      </w:r>
      <w:r w:rsidRPr="00910261">
        <w:rPr>
          <w:sz w:val="16"/>
          <w:szCs w:val="16"/>
        </w:rPr>
        <w:t>Da utilizzare nel</w:t>
      </w:r>
      <w:r w:rsidR="00E65AA7" w:rsidRPr="00910261">
        <w:rPr>
          <w:sz w:val="16"/>
          <w:szCs w:val="16"/>
        </w:rPr>
        <w:t xml:space="preserve"> caso di revisione TUF</w:t>
      </w:r>
      <w:r w:rsidRPr="00910261">
        <w:rPr>
          <w:sz w:val="16"/>
          <w:szCs w:val="16"/>
        </w:rPr>
        <w:t>.</w:t>
      </w:r>
    </w:p>
  </w:footnote>
  <w:footnote w:id="5">
    <w:p w:rsidR="007B7D71" w:rsidRPr="00910261" w:rsidRDefault="007B7D71" w:rsidP="00597FE5">
      <w:pPr>
        <w:pStyle w:val="FootnoteText"/>
        <w:ind w:left="284" w:hanging="284"/>
        <w:rPr>
          <w:sz w:val="16"/>
          <w:szCs w:val="16"/>
        </w:rPr>
      </w:pPr>
      <w:r w:rsidRPr="00910261">
        <w:rPr>
          <w:rStyle w:val="FootnoteReference"/>
          <w:sz w:val="16"/>
          <w:szCs w:val="16"/>
        </w:rPr>
        <w:footnoteRef/>
      </w:r>
      <w:r w:rsidRPr="00910261">
        <w:rPr>
          <w:sz w:val="16"/>
          <w:szCs w:val="16"/>
        </w:rPr>
        <w:t xml:space="preserve"> </w:t>
      </w:r>
      <w:r w:rsidR="00597FE5" w:rsidRPr="00910261">
        <w:rPr>
          <w:sz w:val="16"/>
          <w:szCs w:val="16"/>
        </w:rPr>
        <w:tab/>
      </w:r>
      <w:r w:rsidRPr="00910261">
        <w:rPr>
          <w:sz w:val="16"/>
          <w:szCs w:val="16"/>
        </w:rPr>
        <w:t>Vedi nota 4.</w:t>
      </w:r>
    </w:p>
  </w:footnote>
  <w:footnote w:id="6">
    <w:p w:rsidR="00E65AA7" w:rsidRPr="00910261" w:rsidRDefault="00E65AA7" w:rsidP="00597FE5">
      <w:pPr>
        <w:pStyle w:val="FootnoteText"/>
        <w:ind w:left="284" w:hanging="284"/>
        <w:rPr>
          <w:sz w:val="16"/>
          <w:szCs w:val="16"/>
        </w:rPr>
      </w:pPr>
      <w:r w:rsidRPr="00910261">
        <w:rPr>
          <w:rStyle w:val="FootnoteReference"/>
          <w:sz w:val="16"/>
          <w:szCs w:val="16"/>
        </w:rPr>
        <w:footnoteRef/>
      </w:r>
      <w:r w:rsidRPr="00910261">
        <w:rPr>
          <w:sz w:val="16"/>
          <w:szCs w:val="16"/>
        </w:rPr>
        <w:t xml:space="preserve"> </w:t>
      </w:r>
      <w:r w:rsidR="00597FE5" w:rsidRPr="00910261">
        <w:rPr>
          <w:sz w:val="16"/>
          <w:szCs w:val="16"/>
        </w:rPr>
        <w:tab/>
      </w:r>
      <w:r w:rsidRPr="00910261">
        <w:rPr>
          <w:sz w:val="16"/>
          <w:szCs w:val="16"/>
        </w:rPr>
        <w:t>Applicabile nel caso di revisione Vietti.</w:t>
      </w:r>
    </w:p>
  </w:footnote>
  <w:footnote w:id="7">
    <w:p w:rsidR="00E65AA7" w:rsidRDefault="00E65AA7" w:rsidP="00597FE5">
      <w:pPr>
        <w:pStyle w:val="FootnoteText"/>
        <w:ind w:left="284" w:hanging="284"/>
      </w:pPr>
      <w:r w:rsidRPr="00910261">
        <w:rPr>
          <w:rStyle w:val="FootnoteReference"/>
          <w:sz w:val="16"/>
          <w:szCs w:val="16"/>
        </w:rPr>
        <w:footnoteRef/>
      </w:r>
      <w:r w:rsidR="00910261" w:rsidRPr="00910261">
        <w:rPr>
          <w:sz w:val="16"/>
          <w:szCs w:val="16"/>
        </w:rPr>
        <w:t xml:space="preserve"> </w:t>
      </w:r>
      <w:r w:rsidR="00910261" w:rsidRPr="00910261">
        <w:rPr>
          <w:sz w:val="16"/>
          <w:szCs w:val="16"/>
        </w:rPr>
        <w:tab/>
      </w:r>
      <w:r w:rsidRPr="00910261">
        <w:rPr>
          <w:sz w:val="16"/>
          <w:szCs w:val="16"/>
        </w:rPr>
        <w:t>Vedi nota 6</w:t>
      </w:r>
    </w:p>
  </w:footnote>
  <w:footnote w:id="8">
    <w:p w:rsidR="007B7D71" w:rsidRPr="00597FE5" w:rsidRDefault="007B7D71" w:rsidP="00015AE8">
      <w:pPr>
        <w:pStyle w:val="FootnoteText"/>
        <w:ind w:left="284" w:hanging="284"/>
        <w:jc w:val="both"/>
        <w:rPr>
          <w:sz w:val="16"/>
          <w:szCs w:val="16"/>
        </w:rPr>
      </w:pPr>
      <w:r w:rsidRPr="00597FE5">
        <w:rPr>
          <w:rStyle w:val="FootnoteReference"/>
          <w:sz w:val="16"/>
          <w:szCs w:val="16"/>
        </w:rPr>
        <w:footnoteRef/>
      </w:r>
      <w:r w:rsidRPr="00597FE5">
        <w:rPr>
          <w:sz w:val="16"/>
          <w:szCs w:val="16"/>
        </w:rPr>
        <w:t xml:space="preserve">     Esempi di riesposizione dei dati comparativi che non comportano la presentazione dello stato patrimoniale alla data d’inizio dell’esercizio precedente possono derivare dall’applicazione di talune disposizioni contenute nel corpo dei principi contabili internazionali (ad esempio IFRS 3, IFRS 5, ecc.).</w:t>
      </w:r>
    </w:p>
  </w:footnote>
  <w:footnote w:id="9">
    <w:p w:rsidR="007B7D71" w:rsidRPr="00597FE5" w:rsidRDefault="007B7D71" w:rsidP="007B7D71">
      <w:pPr>
        <w:ind w:left="284" w:hanging="284"/>
        <w:jc w:val="both"/>
        <w:rPr>
          <w:sz w:val="16"/>
          <w:szCs w:val="16"/>
        </w:rPr>
      </w:pPr>
      <w:r w:rsidRPr="00597FE5">
        <w:rPr>
          <w:rStyle w:val="FootnoteReference"/>
          <w:sz w:val="16"/>
          <w:szCs w:val="16"/>
          <w:lang w:eastAsia="it-IT"/>
        </w:rPr>
        <w:footnoteRef/>
      </w:r>
      <w:r w:rsidRPr="00597FE5">
        <w:rPr>
          <w:rStyle w:val="FootnoteReference"/>
          <w:sz w:val="16"/>
          <w:szCs w:val="16"/>
          <w:lang w:eastAsia="it-IT"/>
        </w:rPr>
        <w:t xml:space="preserve"> </w:t>
      </w:r>
      <w:r w:rsidRPr="00597FE5">
        <w:rPr>
          <w:sz w:val="16"/>
          <w:szCs w:val="16"/>
        </w:rPr>
        <w:t xml:space="preserve"> </w:t>
      </w:r>
      <w:r w:rsidRPr="00597FE5">
        <w:rPr>
          <w:sz w:val="16"/>
          <w:szCs w:val="16"/>
        </w:rPr>
        <w:tab/>
      </w:r>
      <w:r w:rsidRPr="00597FE5">
        <w:rPr>
          <w:sz w:val="16"/>
          <w:szCs w:val="16"/>
          <w:lang w:eastAsia="it-IT"/>
        </w:rPr>
        <w:t xml:space="preserve">Valutare la necessità di individuare la nota in cui sono descritte le variazioni e/o di illustrare le ragioni che hanno determinato le modifiche. </w:t>
      </w:r>
    </w:p>
  </w:footnote>
  <w:footnote w:id="10">
    <w:p w:rsidR="007B7D71" w:rsidRPr="00597FE5" w:rsidRDefault="007B7D71" w:rsidP="007B7D71">
      <w:pPr>
        <w:ind w:left="284" w:hanging="284"/>
        <w:jc w:val="both"/>
        <w:rPr>
          <w:sz w:val="16"/>
          <w:szCs w:val="16"/>
        </w:rPr>
      </w:pPr>
      <w:r w:rsidRPr="00597FE5">
        <w:rPr>
          <w:rStyle w:val="FootnoteReference"/>
          <w:sz w:val="16"/>
          <w:szCs w:val="16"/>
          <w:lang w:eastAsia="it-IT"/>
        </w:rPr>
        <w:footnoteRef/>
      </w:r>
      <w:r w:rsidRPr="00597FE5">
        <w:rPr>
          <w:rStyle w:val="FootnoteReference"/>
          <w:sz w:val="16"/>
          <w:szCs w:val="16"/>
          <w:lang w:eastAsia="it-IT"/>
        </w:rPr>
        <w:t xml:space="preserve"> </w:t>
      </w:r>
      <w:r w:rsidRPr="00597FE5">
        <w:rPr>
          <w:sz w:val="16"/>
          <w:szCs w:val="16"/>
        </w:rPr>
        <w:t xml:space="preserve"> </w:t>
      </w:r>
      <w:r w:rsidR="00597FE5">
        <w:rPr>
          <w:sz w:val="16"/>
          <w:szCs w:val="16"/>
        </w:rPr>
        <w:tab/>
      </w:r>
      <w:r w:rsidR="00E65AA7" w:rsidRPr="00597FE5">
        <w:rPr>
          <w:sz w:val="16"/>
          <w:szCs w:val="16"/>
          <w:lang w:eastAsia="it-IT"/>
        </w:rPr>
        <w:t>Vedi Nota 9</w:t>
      </w:r>
      <w:r w:rsidRPr="00597FE5">
        <w:rPr>
          <w:sz w:val="16"/>
          <w:szCs w:val="16"/>
          <w:lang w:eastAsia="it-IT"/>
        </w:rPr>
        <w:t>.</w:t>
      </w:r>
    </w:p>
  </w:footnote>
  <w:footnote w:id="11">
    <w:p w:rsidR="007B7D71" w:rsidRDefault="007B7D71" w:rsidP="00015AE8">
      <w:pPr>
        <w:pStyle w:val="FootnoteText"/>
        <w:ind w:left="284" w:hanging="284"/>
        <w:jc w:val="both"/>
      </w:pPr>
      <w:r w:rsidRPr="00597FE5">
        <w:rPr>
          <w:rStyle w:val="FootnoteReference"/>
          <w:sz w:val="16"/>
          <w:szCs w:val="16"/>
        </w:rPr>
        <w:footnoteRef/>
      </w:r>
      <w:r w:rsidRPr="00597FE5">
        <w:rPr>
          <w:sz w:val="16"/>
          <w:szCs w:val="16"/>
        </w:rPr>
        <w:t xml:space="preserve"> </w:t>
      </w:r>
      <w:r w:rsidR="00597FE5">
        <w:rPr>
          <w:sz w:val="16"/>
          <w:szCs w:val="16"/>
        </w:rPr>
        <w:tab/>
      </w:r>
      <w:r w:rsidRPr="00597FE5">
        <w:rPr>
          <w:sz w:val="16"/>
          <w:szCs w:val="16"/>
        </w:rPr>
        <w:t>Frase da adattare qualora il revisore abbia svolto la revisione contabile del bilancio dell’eserc</w:t>
      </w:r>
      <w:r w:rsidR="00015AE8">
        <w:rPr>
          <w:sz w:val="16"/>
          <w:szCs w:val="16"/>
        </w:rPr>
        <w:t xml:space="preserve">izio precedente, ma lo stato </w:t>
      </w:r>
      <w:r w:rsidRPr="00597FE5">
        <w:rPr>
          <w:sz w:val="16"/>
          <w:szCs w:val="16"/>
        </w:rPr>
        <w:t>patrimoniale</w:t>
      </w:r>
      <w:r w:rsidR="00015AE8">
        <w:rPr>
          <w:sz w:val="16"/>
          <w:szCs w:val="16"/>
        </w:rPr>
        <w:t xml:space="preserve"> </w:t>
      </w:r>
      <w:r w:rsidRPr="00597FE5">
        <w:rPr>
          <w:sz w:val="16"/>
          <w:szCs w:val="16"/>
        </w:rPr>
        <w:t xml:space="preserve"> al … (data inizio esercizio precedente) sia stato assoggettato a revisione contabile da altro revisore.</w:t>
      </w:r>
    </w:p>
  </w:footnote>
  <w:footnote w:id="12">
    <w:p w:rsidR="007B7D71" w:rsidRPr="00910261" w:rsidRDefault="007B7D71" w:rsidP="007B7D71">
      <w:pPr>
        <w:pStyle w:val="FootnoteText"/>
        <w:jc w:val="both"/>
        <w:rPr>
          <w:sz w:val="16"/>
          <w:szCs w:val="16"/>
        </w:rPr>
      </w:pPr>
      <w:r w:rsidRPr="00910261">
        <w:rPr>
          <w:rStyle w:val="FootnoteReference"/>
          <w:sz w:val="16"/>
          <w:szCs w:val="16"/>
        </w:rPr>
        <w:footnoteRef/>
      </w:r>
      <w:r w:rsidRPr="00910261">
        <w:rPr>
          <w:sz w:val="16"/>
          <w:szCs w:val="16"/>
        </w:rPr>
        <w:t xml:space="preserve"> Vedi nota 3.</w:t>
      </w:r>
    </w:p>
  </w:footnote>
  <w:footnote w:id="13">
    <w:p w:rsidR="007B7D71" w:rsidRDefault="007B7D71" w:rsidP="007B7D71">
      <w:pPr>
        <w:pStyle w:val="FootnoteText"/>
        <w:ind w:left="180" w:hanging="180"/>
        <w:jc w:val="both"/>
      </w:pPr>
      <w:r w:rsidRPr="00910261">
        <w:rPr>
          <w:rStyle w:val="FootnoteReference"/>
          <w:sz w:val="16"/>
          <w:szCs w:val="16"/>
        </w:rPr>
        <w:footnoteRef/>
      </w:r>
      <w:r w:rsidRPr="00910261">
        <w:rPr>
          <w:sz w:val="16"/>
          <w:szCs w:val="16"/>
        </w:rPr>
        <w:t xml:space="preserve">  Si rinvia al principio di revisione n. 001 ed al documento di ricerca Assirevi n. 151 per le modalità di formulazione del giudizio di coerenza ove sia presentata anche la relazione sul governo societario e/o in presenza di significative incoerenze e negli altri casi particolari.</w:t>
      </w:r>
      <w:r>
        <w:rPr>
          <w:sz w:val="16"/>
          <w:szCs w:val="16"/>
        </w:rPr>
        <w:t xml:space="preserve"> </w:t>
      </w:r>
    </w:p>
  </w:footnote>
  <w:footnote w:id="14">
    <w:p w:rsidR="007B7D71" w:rsidRPr="00910261" w:rsidRDefault="007B7D71" w:rsidP="007B7D71">
      <w:pPr>
        <w:pStyle w:val="FootnoteText"/>
        <w:rPr>
          <w:sz w:val="16"/>
          <w:szCs w:val="16"/>
        </w:rPr>
      </w:pPr>
      <w:r w:rsidRPr="00910261">
        <w:rPr>
          <w:rStyle w:val="FootnoteReference"/>
          <w:sz w:val="16"/>
          <w:szCs w:val="16"/>
        </w:rPr>
        <w:footnoteRef/>
      </w:r>
      <w:r w:rsidRPr="00910261">
        <w:rPr>
          <w:sz w:val="16"/>
          <w:szCs w:val="16"/>
        </w:rPr>
        <w:t xml:space="preserve"> </w:t>
      </w:r>
      <w:r w:rsidR="00DF4287" w:rsidRPr="00910261">
        <w:rPr>
          <w:sz w:val="16"/>
          <w:szCs w:val="16"/>
        </w:rPr>
        <w:t>Da utilizzare nel caso di revisione TUF</w:t>
      </w:r>
      <w:r w:rsidRPr="00910261">
        <w:rPr>
          <w:sz w:val="16"/>
          <w:szCs w:val="16"/>
        </w:rPr>
        <w:t>.</w:t>
      </w:r>
    </w:p>
  </w:footnote>
  <w:footnote w:id="15">
    <w:p w:rsidR="007B7D71" w:rsidRPr="00910261" w:rsidRDefault="007B7D71" w:rsidP="007B7D71">
      <w:pPr>
        <w:pStyle w:val="FootnoteText"/>
        <w:rPr>
          <w:sz w:val="16"/>
          <w:szCs w:val="16"/>
        </w:rPr>
      </w:pPr>
      <w:r w:rsidRPr="00910261">
        <w:rPr>
          <w:rStyle w:val="FootnoteReference"/>
          <w:sz w:val="16"/>
          <w:szCs w:val="16"/>
        </w:rPr>
        <w:footnoteRef/>
      </w:r>
      <w:r w:rsidRPr="00910261">
        <w:rPr>
          <w:sz w:val="16"/>
          <w:szCs w:val="16"/>
        </w:rPr>
        <w:t xml:space="preserve"> </w:t>
      </w:r>
      <w:r w:rsidR="00DF4287" w:rsidRPr="00910261">
        <w:rPr>
          <w:sz w:val="16"/>
          <w:szCs w:val="16"/>
        </w:rPr>
        <w:t>Vedi nota 14</w:t>
      </w:r>
      <w:r w:rsidRPr="00910261">
        <w:rPr>
          <w:sz w:val="16"/>
          <w:szCs w:val="16"/>
        </w:rPr>
        <w:t>.</w:t>
      </w:r>
    </w:p>
  </w:footnote>
  <w:footnote w:id="16">
    <w:p w:rsidR="00DF4287" w:rsidRPr="00910261" w:rsidRDefault="00DF4287">
      <w:pPr>
        <w:pStyle w:val="FootnoteText"/>
        <w:rPr>
          <w:sz w:val="16"/>
          <w:szCs w:val="16"/>
        </w:rPr>
      </w:pPr>
      <w:r w:rsidRPr="00910261">
        <w:rPr>
          <w:rStyle w:val="FootnoteReference"/>
          <w:sz w:val="16"/>
          <w:szCs w:val="16"/>
        </w:rPr>
        <w:footnoteRef/>
      </w:r>
      <w:r w:rsidRPr="00910261">
        <w:rPr>
          <w:sz w:val="16"/>
          <w:szCs w:val="16"/>
        </w:rPr>
        <w:t xml:space="preserve"> Applicabile nel caso di revisione Vietti.</w:t>
      </w:r>
    </w:p>
  </w:footnote>
  <w:footnote w:id="17">
    <w:p w:rsidR="00DF4287" w:rsidRPr="00910261" w:rsidRDefault="00DF4287" w:rsidP="00DF4287">
      <w:pPr>
        <w:pStyle w:val="FootnoteText"/>
        <w:rPr>
          <w:sz w:val="16"/>
          <w:szCs w:val="16"/>
        </w:rPr>
      </w:pPr>
      <w:r w:rsidRPr="00910261">
        <w:rPr>
          <w:rStyle w:val="FootnoteReference"/>
          <w:sz w:val="16"/>
          <w:szCs w:val="16"/>
        </w:rPr>
        <w:footnoteRef/>
      </w:r>
      <w:r w:rsidRPr="00910261">
        <w:rPr>
          <w:sz w:val="16"/>
          <w:szCs w:val="16"/>
        </w:rPr>
        <w:t xml:space="preserve"> Vedi nota 16.</w:t>
      </w:r>
    </w:p>
    <w:p w:rsidR="00DF4287" w:rsidRDefault="00DF4287">
      <w:pPr>
        <w:pStyle w:val="FootnoteText"/>
      </w:pPr>
    </w:p>
  </w:footnote>
  <w:footnote w:id="18">
    <w:p w:rsidR="007B7D71" w:rsidRDefault="007B7D71" w:rsidP="007B7D71">
      <w:pPr>
        <w:pStyle w:val="FootnoteText"/>
        <w:ind w:left="180" w:hanging="180"/>
        <w:jc w:val="both"/>
      </w:pPr>
      <w:r w:rsidRPr="00FA50DB">
        <w:rPr>
          <w:rStyle w:val="FootnoteReference"/>
          <w:sz w:val="16"/>
          <w:szCs w:val="16"/>
        </w:rPr>
        <w:footnoteRef/>
      </w:r>
      <w:r w:rsidRPr="00FA50DB">
        <w:rPr>
          <w:sz w:val="16"/>
          <w:szCs w:val="16"/>
        </w:rPr>
        <w:t xml:space="preserve"> </w:t>
      </w:r>
      <w:r>
        <w:rPr>
          <w:sz w:val="16"/>
          <w:szCs w:val="16"/>
        </w:rPr>
        <w:t xml:space="preserve"> </w:t>
      </w:r>
      <w:r w:rsidRPr="00FA50DB">
        <w:rPr>
          <w:sz w:val="16"/>
          <w:szCs w:val="16"/>
        </w:rPr>
        <w:t xml:space="preserve">Si rinvia al principio di revisione n. 001 </w:t>
      </w:r>
      <w:r>
        <w:rPr>
          <w:sz w:val="16"/>
          <w:szCs w:val="16"/>
        </w:rPr>
        <w:t xml:space="preserve">ed al documento di ricerca Assirevi n. 151 </w:t>
      </w:r>
      <w:r w:rsidRPr="00FA50DB">
        <w:rPr>
          <w:sz w:val="16"/>
          <w:szCs w:val="16"/>
        </w:rPr>
        <w:t>per le mod</w:t>
      </w:r>
      <w:r>
        <w:rPr>
          <w:sz w:val="16"/>
          <w:szCs w:val="16"/>
        </w:rPr>
        <w:t>alità di formulazione de</w:t>
      </w:r>
      <w:r w:rsidRPr="00FA50DB">
        <w:rPr>
          <w:sz w:val="16"/>
          <w:szCs w:val="16"/>
        </w:rPr>
        <w:t xml:space="preserve">l giudizio di coerenza </w:t>
      </w:r>
      <w:r>
        <w:rPr>
          <w:sz w:val="16"/>
          <w:szCs w:val="16"/>
        </w:rPr>
        <w:t xml:space="preserve">ove sia presentata anche la relazione sul governo societario e/o in presenza </w:t>
      </w:r>
      <w:r w:rsidRPr="00FA50DB">
        <w:rPr>
          <w:sz w:val="16"/>
          <w:szCs w:val="16"/>
        </w:rPr>
        <w:t xml:space="preserve">di significative incoerenze e </w:t>
      </w:r>
      <w:r>
        <w:rPr>
          <w:sz w:val="16"/>
          <w:szCs w:val="16"/>
        </w:rPr>
        <w:t xml:space="preserve">negli altri </w:t>
      </w:r>
      <w:r w:rsidRPr="00FA50DB">
        <w:rPr>
          <w:sz w:val="16"/>
          <w:szCs w:val="16"/>
        </w:rPr>
        <w:t>casi particolari.</w:t>
      </w:r>
      <w:r>
        <w:rPr>
          <w:sz w:val="16"/>
          <w:szCs w:val="16"/>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20"/>
  <w:hyphenationZone w:val="283"/>
  <w:characterSpacingControl w:val="doNotCompress"/>
  <w:footnotePr>
    <w:numRestart w:val="eachSect"/>
    <w:footnote w:id="-1"/>
    <w:footnote w:id="0"/>
  </w:footnotePr>
  <w:endnotePr>
    <w:endnote w:id="-1"/>
    <w:endnote w:id="0"/>
  </w:endnotePr>
  <w:compat/>
  <w:rsids>
    <w:rsidRoot w:val="007B7D71"/>
    <w:rsid w:val="00015AE8"/>
    <w:rsid w:val="00166E7B"/>
    <w:rsid w:val="00196843"/>
    <w:rsid w:val="00211387"/>
    <w:rsid w:val="002C66B9"/>
    <w:rsid w:val="003C6E89"/>
    <w:rsid w:val="003D3FEE"/>
    <w:rsid w:val="004B3395"/>
    <w:rsid w:val="0050756F"/>
    <w:rsid w:val="0052571D"/>
    <w:rsid w:val="005358D5"/>
    <w:rsid w:val="00565EE1"/>
    <w:rsid w:val="00597FE5"/>
    <w:rsid w:val="005B0A79"/>
    <w:rsid w:val="006B46A1"/>
    <w:rsid w:val="006E09FA"/>
    <w:rsid w:val="006F6C66"/>
    <w:rsid w:val="00772D87"/>
    <w:rsid w:val="007B7D71"/>
    <w:rsid w:val="008017CC"/>
    <w:rsid w:val="0081243C"/>
    <w:rsid w:val="00813EF0"/>
    <w:rsid w:val="00824AC4"/>
    <w:rsid w:val="0083587D"/>
    <w:rsid w:val="00847136"/>
    <w:rsid w:val="008E0698"/>
    <w:rsid w:val="008E4704"/>
    <w:rsid w:val="00910261"/>
    <w:rsid w:val="00930AFB"/>
    <w:rsid w:val="009C511B"/>
    <w:rsid w:val="00A06E98"/>
    <w:rsid w:val="00A42B6E"/>
    <w:rsid w:val="00AE39EF"/>
    <w:rsid w:val="00B054FD"/>
    <w:rsid w:val="00BE1D9A"/>
    <w:rsid w:val="00C26C1E"/>
    <w:rsid w:val="00CC079D"/>
    <w:rsid w:val="00DE0673"/>
    <w:rsid w:val="00DE5808"/>
    <w:rsid w:val="00DF4287"/>
    <w:rsid w:val="00E431D9"/>
    <w:rsid w:val="00E65AA7"/>
    <w:rsid w:val="00EE402B"/>
    <w:rsid w:val="00F12533"/>
    <w:rsid w:val="00F45067"/>
  </w:rsids>
  <m:mathPr>
    <m:mathFont m:val="Cambria Math"/>
    <m:brkBin m:val="before"/>
    <m:brkBinSub m:val="--"/>
    <m:smallFrac m:val="off"/>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D71"/>
    <w:pPr>
      <w:spacing w:after="0" w:line="240" w:lineRule="auto"/>
    </w:pPr>
    <w:rPr>
      <w:rFonts w:ascii="Times New Roman" w:eastAsia="MS Mincho" w:hAnsi="Times New Roman" w:cs="Times New Roman"/>
      <w:sz w:val="24"/>
      <w:szCs w:val="24"/>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7B7D71"/>
    <w:rPr>
      <w:sz w:val="20"/>
      <w:szCs w:val="20"/>
      <w:lang w:eastAsia="it-IT"/>
    </w:rPr>
  </w:style>
  <w:style w:type="character" w:customStyle="1" w:styleId="FootnoteTextChar">
    <w:name w:val="Footnote Text Char"/>
    <w:basedOn w:val="DefaultParagraphFont"/>
    <w:link w:val="FootnoteText"/>
    <w:rsid w:val="007B7D71"/>
    <w:rPr>
      <w:rFonts w:ascii="Times New Roman" w:eastAsia="MS Mincho" w:hAnsi="Times New Roman" w:cs="Times New Roman"/>
      <w:sz w:val="20"/>
      <w:szCs w:val="20"/>
      <w:lang w:val="it-IT" w:eastAsia="it-IT"/>
    </w:rPr>
  </w:style>
  <w:style w:type="character" w:styleId="FootnoteReference">
    <w:name w:val="footnote reference"/>
    <w:basedOn w:val="DefaultParagraphFont"/>
    <w:uiPriority w:val="99"/>
    <w:semiHidden/>
    <w:rsid w:val="007B7D71"/>
    <w:rPr>
      <w:rFonts w:cs="Times New Roman"/>
      <w:vertAlign w:val="superscript"/>
    </w:rPr>
  </w:style>
  <w:style w:type="paragraph" w:customStyle="1" w:styleId="NewVIText">
    <w:name w:val="NewVI_Text"/>
    <w:basedOn w:val="Normal"/>
    <w:link w:val="NewVITextChar"/>
    <w:rsid w:val="007B7D71"/>
    <w:pPr>
      <w:overflowPunct w:val="0"/>
      <w:autoSpaceDE w:val="0"/>
      <w:autoSpaceDN w:val="0"/>
      <w:adjustRightInd w:val="0"/>
      <w:ind w:right="-108"/>
      <w:textAlignment w:val="baseline"/>
    </w:pPr>
    <w:rPr>
      <w:rFonts w:ascii="EYInterstate Light" w:hAnsi="EYInterstate Light"/>
      <w:color w:val="000000"/>
      <w:sz w:val="22"/>
      <w:szCs w:val="22"/>
    </w:rPr>
  </w:style>
  <w:style w:type="character" w:customStyle="1" w:styleId="NewVITextChar">
    <w:name w:val="NewVI_Text Char"/>
    <w:basedOn w:val="DefaultParagraphFont"/>
    <w:link w:val="NewVIText"/>
    <w:locked/>
    <w:rsid w:val="007B7D71"/>
    <w:rPr>
      <w:rFonts w:ascii="EYInterstate Light" w:eastAsia="MS Mincho" w:hAnsi="EYInterstate Light" w:cs="Times New Roman"/>
      <w:color w:val="000000"/>
      <w:lang w:val="it-IT"/>
    </w:rPr>
  </w:style>
  <w:style w:type="paragraph" w:styleId="NormalWeb">
    <w:name w:val="Normal (Web)"/>
    <w:basedOn w:val="Normal"/>
    <w:uiPriority w:val="99"/>
    <w:rsid w:val="007B7D71"/>
    <w:pPr>
      <w:spacing w:before="100" w:beforeAutospacing="1" w:after="100" w:afterAutospacing="1"/>
    </w:pPr>
    <w:rPr>
      <w:lang w:val="en-US"/>
    </w:rPr>
  </w:style>
  <w:style w:type="paragraph" w:customStyle="1" w:styleId="NewVIBulletNumber">
    <w:name w:val="NewVI_Bullet Number"/>
    <w:basedOn w:val="NewVIText"/>
    <w:autoRedefine/>
    <w:rsid w:val="007B7D71"/>
    <w:pPr>
      <w:ind w:left="360"/>
      <w:jc w:val="both"/>
    </w:pPr>
    <w:rPr>
      <w:rFonts w:ascii="Times New Roman" w:hAnsi="Times New Roman"/>
      <w:sz w:val="24"/>
      <w:szCs w:val="24"/>
    </w:rPr>
  </w:style>
  <w:style w:type="paragraph" w:customStyle="1" w:styleId="NewVIBoldText">
    <w:name w:val="NewVI_Bold Text"/>
    <w:basedOn w:val="NewVIText"/>
    <w:rsid w:val="007B7D71"/>
    <w:rPr>
      <w: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34A12-DD62-46D2-AAB1-1CD3E2109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1514</Words>
  <Characters>8632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Ernst &amp; Young</Company>
  <LinksUpToDate>false</LinksUpToDate>
  <CharactersWithSpaces>10126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PriceWaterhouseCoopers Spa</cp:lastModifiedBy>
  <cp:revision>2</cp:revision>
  <cp:lastPrinted>2010-04-01T08:38:00Z</cp:lastPrinted>
  <dcterms:created xsi:type="dcterms:W3CDTF">2010-10-07T09:10:00Z</dcterms:created>
  <dcterms:modified xsi:type="dcterms:W3CDTF">2010-10-07T09:10:00Z</dcterms:modified>
</cp:coreProperties>
</file>